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7"/>
                <w:szCs w:val="17"/>
                <w:color w:val="auto"/>
              </w:rPr>
            </w:pPr>
          </w:p>
        </w:tc>
      </w:tr>
      <w:tr>
        <w:trPr>
          <w:trHeight w:val="44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8"/>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8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6, 2025, there were 15,005,419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2025 (Unaudited), and December 31, 2024</w:t>
            </w:r>
          </w:p>
        </w:tc>
        <w:tc>
          <w:tcPr>
            <w:tcW w:w="400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Months Ended March 31, 2025, and March 31, 2024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Months Ended March 31, 2025, and March 31, 2024 (Unaudited)</w:t>
            </w:r>
          </w:p>
        </w:tc>
        <w:tc>
          <w:tcPr>
            <w:tcW w:w="420" w:type="dxa"/>
            <w:vAlign w:val="bottom"/>
            <w:gridSpan w:val="2"/>
            <w:shd w:val="clear" w:color="auto" w:fill="CCEEFF"/>
          </w:tcPr>
          <w:p>
            <w:pPr>
              <w:spacing w:after="0"/>
              <w:rPr>
                <w:sz w:val="16"/>
                <w:szCs w:val="16"/>
                <w:color w:val="auto"/>
              </w:rPr>
            </w:pP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Months Ended March 31, 2025, and March 31, 2024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r>
      <w:tr>
        <w:trPr>
          <w:trHeight w:val="21"/>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31, 2025, and March 31, 2024 (Unaudited)</w:t>
            </w:r>
          </w:p>
        </w:tc>
        <w:tc>
          <w:tcPr>
            <w:tcW w:w="1800" w:type="dxa"/>
            <w:vAlign w:val="bottom"/>
            <w:gridSpan w:val="3"/>
            <w:shd w:val="clear" w:color="auto" w:fill="CCEEFF"/>
          </w:tcPr>
          <w:p>
            <w:pPr>
              <w:spacing w:after="0"/>
              <w:rPr>
                <w:sz w:val="16"/>
                <w:szCs w:val="16"/>
                <w:color w:val="auto"/>
              </w:rPr>
            </w:pP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4260" w:type="dxa"/>
            <w:vAlign w:val="bottom"/>
            <w:gridSpan w:val="3"/>
          </w:tcPr>
          <w:p>
            <w:pPr>
              <w:spacing w:after="0"/>
              <w:rPr>
                <w:sz w:val="16"/>
                <w:szCs w:val="16"/>
                <w:color w:val="auto"/>
              </w:rPr>
            </w:pPr>
          </w:p>
        </w:tc>
        <w:tc>
          <w:tcPr>
            <w:tcW w:w="1800" w:type="dxa"/>
            <w:vAlign w:val="bottom"/>
            <w:gridSpan w:val="3"/>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8</w:t>
            </w: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tcPr>
          <w:p>
            <w:pPr>
              <w:spacing w:after="0"/>
              <w:rPr>
                <w:sz w:val="24"/>
                <w:szCs w:val="24"/>
                <w:color w:val="auto"/>
              </w:rPr>
            </w:pPr>
          </w:p>
        </w:tc>
        <w:tc>
          <w:tcPr>
            <w:tcW w:w="2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19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5,672,236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5,579,754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5,604,196</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132,270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7,838,090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1,382,427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1,379,940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5,159,444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5,135,299</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6,541,871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6,515,239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7,080,090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7,082,028</w:t>
            </w:r>
          </w:p>
        </w:tc>
        <w:tc>
          <w:tcPr>
            <w:tcW w:w="0" w:type="dxa"/>
            <w:vAlign w:val="bottom"/>
          </w:tcPr>
          <w:p>
            <w:pPr>
              <w:spacing w:after="0"/>
              <w:rPr>
                <w:sz w:val="1"/>
                <w:szCs w:val="1"/>
                <w:color w:val="auto"/>
              </w:rPr>
            </w:pPr>
          </w:p>
        </w:tc>
      </w:tr>
      <w:tr>
        <w:trPr>
          <w:trHeight w:val="145"/>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at March 31, 2025; 1,500 shares issued and outstanding at December 31, 2024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$0.50 par value; 40,000,000 shares authorized, 15,554,097 shares issued and 14,982,807 shares outstanding at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March 31, 2025; 40,000,000 shares authorized, 15,540,394 shares issued and 14,969,104 shares outstanding at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401,172</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434,106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571,290 shares, at cost, at March 31, 2025, and 571,290 shares, at cost, at December 31, 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730,157</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7,838,090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97,031</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28,045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110,786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38,745</w:t>
            </w:r>
          </w:p>
        </w:tc>
      </w:tr>
      <w:tr>
        <w:trPr>
          <w:trHeight w:val="19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12,931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16,614</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72,987</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22,131</w:t>
            </w:r>
          </w:p>
        </w:tc>
      </w:tr>
      <w:tr>
        <w:trPr>
          <w:trHeight w:val="199"/>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loans and available-for-sale securities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(recapture) - off-balance sheet credit exposures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(recapture) for credit losses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22,801</w:t>
            </w:r>
          </w:p>
        </w:tc>
      </w:tr>
      <w:tr>
        <w:trPr>
          <w:trHeight w:val="199"/>
        </w:trPr>
        <w:tc>
          <w:tcPr>
            <w:tcW w:w="8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on securities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w:t>
            </w:r>
          </w:p>
        </w:tc>
      </w:tr>
      <w:tr>
        <w:trPr>
          <w:trHeight w:val="199"/>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21,165</w:t>
            </w:r>
          </w:p>
        </w:tc>
      </w:tr>
      <w:tr>
        <w:trPr>
          <w:trHeight w:val="239"/>
        </w:trPr>
        <w:tc>
          <w:tcPr>
            <w:tcW w:w="8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199"/>
        </w:trPr>
        <w:tc>
          <w:tcPr>
            <w:tcW w:w="8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applicable to common shares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26,976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5,212</w:t>
            </w:r>
          </w:p>
        </w:tc>
      </w:tr>
      <w:tr>
        <w:trPr>
          <w:trHeight w:val="198"/>
        </w:trPr>
        <w:tc>
          <w:tcPr>
            <w:tcW w:w="8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27,201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57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gain (loss) arising during period, net of tax of ($2,296) and $117 for the three months ended March 31, 2025,</w:t>
            </w:r>
          </w:p>
        </w:tc>
        <w:tc>
          <w:tcPr>
            <w:tcW w:w="9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and March 31, 2024, respectively</w:t>
            </w:r>
          </w:p>
        </w:tc>
        <w:tc>
          <w:tcPr>
            <w:tcW w:w="9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260" w:type="dxa"/>
            <w:vAlign w:val="bottom"/>
            <w:gridSpan w:val="3"/>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 (gain) on securities, net of tax of $0 and $0 for the three months ended March 31,</w:t>
            </w:r>
          </w:p>
        </w:tc>
        <w:tc>
          <w:tcPr>
            <w:tcW w:w="9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2025, and March 31, 2024, respectively</w:t>
            </w:r>
          </w:p>
        </w:tc>
        <w:tc>
          <w:tcPr>
            <w:tcW w:w="9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loss (gain) on fair value hedge, net of tax of $9 and $9 for the three months ended</w:t>
            </w:r>
          </w:p>
        </w:tc>
        <w:tc>
          <w:tcPr>
            <w:tcW w:w="9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March 31, 2025, and March 31, 2024, respectively</w:t>
            </w:r>
          </w:p>
        </w:tc>
        <w:tc>
          <w:tcPr>
            <w:tcW w:w="9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 (loss) on cash flow hedge:</w:t>
            </w:r>
          </w:p>
        </w:tc>
        <w:tc>
          <w:tcPr>
            <w:tcW w:w="5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holding gain (loss) on cash flow hedge, net of tax of ($111) and ($707) for the three months ended March 31,</w:t>
            </w:r>
          </w:p>
        </w:tc>
        <w:tc>
          <w:tcPr>
            <w:tcW w:w="9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2025, and March 31, 2024, respectively</w:t>
            </w:r>
          </w:p>
        </w:tc>
        <w:tc>
          <w:tcPr>
            <w:tcW w:w="9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260" w:type="dxa"/>
            <w:vAlign w:val="bottom"/>
            <w:gridSpan w:val="3"/>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losses (gains) included in net income, net of tax $99 and ($94) for the three months ended</w:t>
            </w:r>
          </w:p>
        </w:tc>
        <w:tc>
          <w:tcPr>
            <w:tcW w:w="9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March 31, 2025, and March 31, 2024, respectively</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34,897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14,969,104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730,157</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14,982,807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7,777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402,682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452,736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(88,024)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758,000</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7,440,025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4,006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(100,954)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319,308</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fixed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on assumed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income related to acquired loans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housing tax credits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Realized (gain) on sales of available-for-sale securities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loss on sales of OREO property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company-owned life insurance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securities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securities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operating lease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loans held-for-sale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loans held-for-sale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loans held-for-sale</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receivable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 accrued interest payable and other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35,679</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37,647</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7,089</w:t>
            </w:r>
          </w:p>
        </w:tc>
      </w:tr>
      <w:tr>
        <w:trPr>
          <w:trHeight w:val="257"/>
        </w:trPr>
        <w:tc>
          <w:tcPr>
            <w:tcW w:w="8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available-for-sale,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securities available-for-sale, net</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securities available-for-sale,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from merger, net</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of restricted stock</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restricted stock</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company-owned life insurance</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sale of OREO property</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(Increase) decrease in loans made to customers, net</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23,944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(30,425)</w:t>
            </w:r>
          </w:p>
        </w:tc>
      </w:tr>
      <w:tr>
        <w:trPr>
          <w:trHeight w:val="19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investing activities</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22,605</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(70,617)</w:t>
            </w:r>
          </w:p>
        </w:tc>
      </w:tr>
      <w:tr>
        <w:trPr>
          <w:trHeight w:val="257"/>
        </w:trPr>
        <w:tc>
          <w:tcPr>
            <w:tcW w:w="8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non-interest-bearing accounts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interest-bearing accounts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other short-term borrowings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88,000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Repayment of finance lease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dividends paid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employee stock purchase program</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23"/>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 of treasury stock</w:t>
            </w: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(46,720)</w:t>
            </w:r>
          </w:p>
        </w:tc>
        <w:tc>
          <w:tcPr>
            <w:tcW w:w="10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73,107</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Beginning of period</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44,498</w:t>
            </w:r>
          </w:p>
        </w:tc>
      </w:tr>
      <w:tr>
        <w:trPr>
          <w:trHeight w:val="19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End of period</w:t>
            </w: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148,846</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54,077</w:t>
            </w:r>
          </w:p>
        </w:tc>
      </w:tr>
      <w:tr>
        <w:trPr>
          <w:trHeight w:val="257"/>
        </w:trPr>
        <w:tc>
          <w:tcPr>
            <w:tcW w:w="8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to depositors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short-term borrowings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subordinated debt and trust preferred securities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finance leases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unrealized gains on available-for-sale securities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for merger, net</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issued for merger, net</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 &amp; Herbert Bank &amp; Trust Company (“the Bank”), together referred to as “the Company” for purposes of the Notes to the Financial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Summit Financial Group,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3, 2024 (the “Closing Date”), the Company completed its merger (the “Merger”) with Summit Financial Group, Inc., a West Virginia corporation (“Summit”), pursuant to the Agreement and Plan of Reorganization and accompanying Plan of Merger dated August 24, 2023 between the Company and Summit (the “Merger Agreement”).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the Company with the Company as the surviving entity, and (ii) immediately following the Merger, Summit Community Bank, Inc., a West Virginia chartered bank and wholly-owned subsidiary of Summit (“SCB”) merged with and into the Bank, with the Bank as the surviving bank.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the Company’s Common Stock for each share of Summit common stock they owned, subject to the payment of cash in lieu of fractional shares. The total aggregate consideration payable in the Merger was approximately 7,405,772 shares of the Company’s Common Stock. Additionally, each share of the 6.0% Fixed Rate Non-Cumulative Perpetual Preferred Stock, Series 2021 of Summit (the “Summit Series 2021 Preferred Stock”) issued and outstanding was converted into the right to receive a share of a newly created series of preferred stock of the Company, the Burke &amp; Herbert Series 2021 Preferred Stock (the “Burke &amp; Herbert Series 2021 Preferred Stock”). Summit’s results of operations are included from the Closing Date forward.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be read in conjunction with the consolidated financial statements and notes thereto as of and for the year ending December 31, 2024, included in the Company’s Annual Report on Form 10-K filed with the SEC on March 17,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Bank (as its wholly-owned subsidiary). All significant intercompany accounts and transactions between the Company and the Bank have been eliminated. In 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months ended March 31, 2025, are not necessarily indicative of the results to be expected for any other interim period or for the full year. All December 31, 2024,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not yet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seeks to improve the disclosures about a public business entity’s expenses and address requests from investors for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our consolidated financial statements.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amendments to SEC disclosure requirements into the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the related disclosure requirement becomes effective. For all other entities, the effective date will be two years after the date of such removal.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March 31, 2025, and December 31, 2024,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716,545</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1,546,361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1,436,869</w:t>
            </w:r>
          </w:p>
        </w:tc>
        <w:tc>
          <w:tcPr>
            <w:tcW w:w="0" w:type="dxa"/>
            <w:vAlign w:val="bottom"/>
          </w:tcPr>
          <w:p>
            <w:pPr>
              <w:spacing w:after="0"/>
              <w:rPr>
                <w:sz w:val="1"/>
                <w:szCs w:val="1"/>
                <w:color w:val="auto"/>
              </w:rPr>
            </w:pPr>
          </w:p>
        </w:tc>
      </w:tr>
      <w:tr>
        <w:trPr>
          <w:trHeight w:val="456"/>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698,724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1,432,371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AFS securities with amortized costs of $1.2 billion and $1.2 billion, respectively, and with estimated fair values of $1.1 billion and $1.1 billion,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of debt securities available-for-sale, including principal payments received, and the related gross gains and losses realized, for the three months ended March 31, 2025, and March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2980" w:type="dxa"/>
            <w:vAlign w:val="bottom"/>
            <w:tcBorders>
              <w:top w:val="single" w:sz="8" w:color="auto"/>
            </w:tcBorders>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March 31, 2025, and March 31, 2024, was ($0.2) thousand, and zero,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maturities of AFS securities at March 31, 2025,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165,241</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795,589</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57,304</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137,791</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61,396</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1,546,361</w:t>
            </w:r>
          </w:p>
        </w:tc>
      </w:tr>
      <w:tr>
        <w:trPr>
          <w:trHeight w:val="456"/>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151,793</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716,545</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53,893</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246,032</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31,999</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339,274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1,436,869</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there were no holdings of securities of any one issuer, other than the U.S. Government and its agencies, in any amount greater than 10% of shareholders’ equity.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March 31, 2025, and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60" w:type="dxa"/>
            <w:vAlign w:val="bottom"/>
          </w:tcPr>
          <w:p>
            <w:pPr>
              <w:spacing w:after="0"/>
              <w:rPr>
                <w:sz w:val="16"/>
                <w:szCs w:val="16"/>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370,246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0" w:type="dxa"/>
            <w:vAlign w:val="bottom"/>
          </w:tcPr>
          <w:p>
            <w:pPr>
              <w:spacing w:after="0"/>
              <w:rPr>
                <w:sz w:val="1"/>
                <w:szCs w:val="1"/>
                <w:color w:val="auto"/>
              </w:rPr>
            </w:pPr>
          </w:p>
        </w:tc>
      </w:tr>
      <w:tr>
        <w:trPr>
          <w:trHeight w:val="456"/>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60" w:type="dxa"/>
            <w:vAlign w:val="bottom"/>
          </w:tcPr>
          <w:p>
            <w:pPr>
              <w:spacing w:after="0"/>
              <w:rPr>
                <w:sz w:val="16"/>
                <w:szCs w:val="16"/>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3"/>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Balance Sheets.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March 31, 2025, or December 31, 2024. The Company considers the unrealized losses on the AFS securities to be related to fluctuations in market conditions, primarily interest rates, and not reflective of deterioration in credit. The Company had 505 securities in an unrealized loss position as of March 31, 2025. The Company has evaluated AFS securities in an unrealized loss position for credit-related impairment at March 31, 2025,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March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the unrealized losses associated with 11 U.S. Treasuries and Government Agency securities, 14 Residential Mortgage Backed – Agency securities, and 15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States and Municipalities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2025, the unrealized losses associated with 346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March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unrealized losses associated with 70 Residential Mortgage Backed – Non-Agency securities and 23 Commercial Mortgage Backed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 unrealized losses associated with 18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the unrealized losses associated with 8 securities were primarily driven by interest rates and not the credit quality of the securities. These investments were underwritten in accordance with our own investment standards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$19.8 million and $18.2 million at March 31, 2025, and December 31, 2024, respectively. The Company’s investment in Federal Reserve Bank stock totaled $14.8 million and $14.8 million at March 31, 2025, and December 31, 2024, respectively. FHLB and Federal Reserve stock are generally viewed as long-term 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March 31, 2025, and no impairment has been recognized. FHLB stock and Federal Reserve stock are included in a separate line item, restricted stock, at cost on the Consolidated Balance Sheets and are not part of the Company’s AFS securities portfolio.</w:t>
      </w: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restricted stock line item on the Consolidated Balance Sheets also includes an investment in Community Bankers’ Bank, totaling $111 thousand at March 31, 2025, and $111 thousand at December 31, 2024, which is carried at cost and is not impaired at March 31, 2025. The Company also has other restricted investments including Independent Community Bancorp, Inc. and WV Bankers Title which are included in restricted stock on the Consolidated Balance Sheets as of March 31, 2025 and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as of March 31, 2025, and December 31, 2024,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2,637,802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613,085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1,173,749</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5,672,236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5,579,754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5,604,196</w:t>
            </w:r>
          </w:p>
        </w:tc>
      </w:tr>
    </w:tbl>
    <w:p>
      <w:pPr>
        <w:spacing w:after="0" w:line="238"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Net deferred loan fees included in the above loan categories totaled $4.2 million and $4.4 million at March 31, 2025, and December 31, 2024, respectively. </w:t>
      </w:r>
      <w:r>
        <w:rPr>
          <w:rFonts w:ascii="Times New Roman" w:cs="Times New Roman" w:eastAsia="Times New Roman" w:hAnsi="Times New Roman"/>
          <w:sz w:val="18"/>
          <w:szCs w:val="18"/>
          <w:b w:val="1"/>
          <w:bCs w:val="1"/>
          <w:color w:val="auto"/>
        </w:rPr>
        <w:t>Note 4— Allowance for Credit Losses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the Company adopted the CECL methodology as required under Accounting Standards Codification (“ASC”) 326. The measurement of expected credit losses under the CECL methodology is applicable to financial assets measured at amortized cost, including loan receivables. All information presented as of March 31, 2025, is in accordance with ASC 326.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 These qualitative risk factors considered by management are largely comparable to legacy factors prior to the adoption of CECL.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in the ACL three months ended March 31, 2025, and the three months ended March 31, 2024,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34,746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67,753</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24,606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due to immateriality. The following table presents the aging of the recorded investment in past due loans as of March 31, 2025, and December 31, 2024, by portfolio segment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Non-accrual</w:t>
            </w:r>
          </w:p>
        </w:tc>
      </w:tr>
      <w:tr>
        <w:trPr>
          <w:trHeight w:val="182"/>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2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2,741,053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2,809,573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24,269</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577,829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589,889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5,856</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604,600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613,219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1,143,162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7,165</w:t>
            </w: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149,598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45,122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51,675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122,132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5,525,375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5,647,507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41,431</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Non-accrual</w:t>
            </w: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2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2,618,388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19,183</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5,760</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613,085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1,145,226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7,857</w:t>
            </w: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166,569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167,701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5,603,923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5,672,236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35,871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credit risk. The Company internally grades all commercial loans at the time of origination. In addition, the Company performs an annual review on at least 50% of the Bank’s commercial credit exposure to each borrower. The Company uses the following definitions for credit risk classifications: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53,721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418,646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492,172</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397,562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723,022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106,222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2,441,536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211,963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154,224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53,721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250,191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441,747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572,093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489,350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844,084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158,387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2,809,573</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59,155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69,389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91,995</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124,891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197,017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27,794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577,025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59,155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97,119</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126,626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202,943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589,889</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94,849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62,950</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85,567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309,489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94,934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67,197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89,302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322,963</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104,224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47,683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40,291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227,248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531,831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47,072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47,964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79,385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42,987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257,542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613,219</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88,310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150,857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197,118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140,896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397,277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168,957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1,153,940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88,310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152,399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198,022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141,473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401,303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169,374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1,161,406</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110,774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150,255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110,807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150,457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r>
      <w:tr>
        <w:trPr>
          <w:trHeight w:val="188"/>
        </w:trPr>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125,265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548,667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815,821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1,018,856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881,879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1,518,221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738,798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5,647,507</w:t>
            </w:r>
          </w:p>
        </w:tc>
      </w:tr>
      <w:tr>
        <w:trPr>
          <w:trHeight w:val="452"/>
        </w:trPr>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378,322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482,195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337,136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153,187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588,490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96,914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2,284,267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182,671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170,864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387,702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561,965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163,340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698,485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148,630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126,700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170,809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594,103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99,133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175,827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109,751</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147,702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408,549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122,866</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95,119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153,669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108,206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57,280</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47,828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15,109</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237,852</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529,483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64,861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108,608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87,547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266,473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613,085</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88,857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152,438</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201,410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142,719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77,783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332,025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170,077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1,165,309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153,932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143,305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170,789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166,890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167,701</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88"/>
        </w:trPr>
        <w:tc>
          <w:tcPr>
            <w:tcW w:w="2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554,237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805,534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1,052,113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903,616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329,467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1,258,726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768,543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25,093</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6,231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26,305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33,954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0" w:type="dxa"/>
            <w:vAlign w:val="bottom"/>
          </w:tcPr>
          <w:p>
            <w:pPr>
              <w:spacing w:after="0"/>
              <w:rPr>
                <w:sz w:val="1"/>
                <w:szCs w:val="1"/>
                <w:color w:val="auto"/>
              </w:rPr>
            </w:pPr>
          </w:p>
        </w:tc>
      </w:tr>
      <w:tr>
        <w:trPr>
          <w:trHeight w:val="463"/>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5,854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purchased loans for which there was, at acquisition, evidence of more than insignificant deterioration of credit quality since origination.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those loans, at acquisition,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price of loans at acquisition</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380,795</w:t>
            </w:r>
          </w:p>
        </w:tc>
      </w:tr>
      <w:tr>
        <w:trPr>
          <w:trHeight w:val="195"/>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at acquisition</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w:t>
            </w:r>
          </w:p>
        </w:tc>
      </w:tr>
      <w:tr>
        <w:trPr>
          <w:trHeight w:val="20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Non-credit discount/(premium) at acquisition</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w:t>
            </w:r>
          </w:p>
        </w:tc>
      </w:tr>
      <w:tr>
        <w:trPr>
          <w:trHeight w:val="256"/>
        </w:trPr>
        <w:tc>
          <w:tcPr>
            <w:tcW w:w="9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value of acquired loans at acquisition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w:t>
      </w:r>
      <w:r>
        <w:rPr>
          <w:rFonts w:ascii="Times New Roman" w:cs="Times New Roman" w:eastAsia="Times New Roman" w:hAnsi="Times New Roman"/>
          <w:sz w:val="18"/>
          <w:szCs w:val="18"/>
          <w:i w:val="1"/>
          <w:iCs w:val="1"/>
          <w:color w:val="auto"/>
        </w:rPr>
        <w:t>Receivables — Nonrefundable 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 difficulty.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individual loan. For the three months ended March 31, 2025, and for the year ended, December 31, 2024, the Company did not extend any modifications to borrowers experiencing financial difficulty that had a more-than-insignificant direct change in the contractual cash flows of the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owned activity was as follows for the three months ended March 31, 2025, and for the year ended, December 31,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acquired/transferred to real estate owned</w:t>
            </w:r>
          </w:p>
        </w:tc>
        <w:tc>
          <w:tcPr>
            <w:tcW w:w="4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write-downs</w:t>
            </w:r>
          </w:p>
        </w:tc>
        <w:tc>
          <w:tcPr>
            <w:tcW w:w="4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real estate owned</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57"/>
        </w:trPr>
        <w:tc>
          <w:tcPr>
            <w:tcW w:w="7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period balance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$292.3 million and $284.4 million on March 31, 2025, and December 31, 2024, respectively. Brokered time deposits, which are fully insured, totaled $246.9 million and $244.8 million as of March 31, 2025, and December 31, 2024, respectively. Time deposits through the Certificate of Deposit Account Registry Service (“CDARS”) program totaled $32.2 million at March 31, 2025, compared to $35.7 million at December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time deposits as of March 31, 2025 are as follows (in thousands):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2025</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987,610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215,992</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1,267,153</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amounts included in time deposits for individual retirement accounts totaled $118.5 million and $118.9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Overdrafts of $899.0 thousand and $1.6 million were reclassified to loans as of March 31, 2025, and the year ended December 31,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$300.0 million and $365.0 million at March 31, 2025, and December 31, 2024, respectively. At March 31, 2025, the interest rate on this debt was 4.42%. At December 31, 2024, the interest rate on this debt ranged from 4.43% to 4.57%. The average balance outstanding during the three months ending March 31, 2025, and the year ending December 31, 2024, was $332.6 million and $422.5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available secured lines of credit with the Federal Reserve Bank of Richmond, such as the Borrower-In-Custody program, the FHLB of Atlanta, and unsecured federal funds lines of credit from correspondent banking relationships. Through these sources, the Company has unused capacity of $4.1 billion in remaining borrowing capacity 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March 31, 2025. The advances on credit lines are secured by both securities and loans. The lendable collateral value of securities and loans pledged against available lines of credit as of March 31, 2025, and December 31, 2024, was $3.1 billion and $3.1 billion, respectively. As of March 31, 2025, all of the Company’s borrowings will mature within one calendar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March 31, 2025,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Merger, Burke &amp; Herbert assumed $75.0 million of subordinated debentures, that were fair valued at $61.5 million with a $13.5 million discount being amortized into interest expense over the stated maturity. As of March 31, 2025, the net balance was $66.3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 in arrears. This debt has a 10-year term, and generally, is not prepayable by us within the first 5 years from issuance, which was fourth quarter 2021.</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Merger, Burke &amp; Herbert also assumed $30 million of subordinated debentures that were fair valued at $29.8 million with a $0.2 million discount being amortized into interest expense over the stated maturity. As of March 31, 2025, the net balance was $29.9 million. The subordinated debt qualifies as Tier 2 capital under Federal Reserve Board guidelines, until the debt is within 5 years of its maturity; thereafter, the amount qualifying as Tier 2 capital is reduced by 20% each year until its maturity. The subordinated debentures were issued in the third quarter of 2020. This subordinated debt bears interest at a fixed rate of 5.00% per year from the date of assumption to, but excluding, September 30, 2025, payable quarterly in arrears. From and including September 30, 2025, to, but excluding, the maturity date or earlier redemption date, the interest rate will reset quarterly at a variable rate equal to the then current three-month term SOFR plus 487 basis points, payable quarterly in arrears. This debt has a 10-year term, and generally, is not prepayable by us within the first 5 years from issuance, which was third quarter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$3.61 million of debentures, which were assumed by Burke &amp; Herbert in the Merger. SFG Capital Trust II issued $7.5 million in capital securities and $232 thousand in common securities and invested the proceeds in $7.73 million of debentures, which were assumed by Burke &amp; Herbert in the Merger. SFG Capital Trust III issued $8.0 million in capital securities and $248 thousand in common securities and invested the proceeds in $8.25 million of debentures, which were assumed by Burke &amp; Herbert in the Merger. Distributions on the capital securities issued by the trusts are payable quarterly at a variable rate equal to 3 month LIBOR plus 345 basis points for SFG Capital Trust I, 3 months of LIBOR plus 280 basis points for SFG Capital Trust II, and 3 month LIBOR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25% of Tier 1 capital elements, net of goodwill. The amount of trust preferred securities and certain other elements in excess of the limit can be included in Tier 2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March 31, 2025,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40" w:type="dxa"/>
            <w:vAlign w:val="bottom"/>
          </w:tcPr>
          <w:p>
            <w:pPr>
              <w:spacing w:after="0"/>
              <w:rPr>
                <w:sz w:val="13"/>
                <w:szCs w:val="13"/>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4"/>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nine months ending, December 31, 2025</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one year to around ten years and may contain renewal options. The components of lease income, which were included in non-interest expense on the Consolidated Statements of Income,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45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March 31, 2025, are as follows (in thousands):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8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2025</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23"/>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2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w:t>
            </w: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r>
      <w:tr>
        <w:trPr>
          <w:trHeight w:val="46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5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5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March 31, 2025,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46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2025</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35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898"/>
        </w:trPr>
        <w:tc>
          <w:tcPr>
            <w:tcW w:w="4660" w:type="dxa"/>
            <w:vAlign w:val="bottom"/>
          </w:tcPr>
          <w:p>
            <w:pPr>
              <w:spacing w:after="0"/>
              <w:rPr>
                <w:sz w:val="24"/>
                <w:szCs w:val="24"/>
                <w:color w:val="auto"/>
              </w:rPr>
            </w:pPr>
          </w:p>
        </w:tc>
        <w:tc>
          <w:tcPr>
            <w:tcW w:w="352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March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70"/>
        </w:trPr>
        <w:tc>
          <w:tcPr>
            <w:tcW w:w="7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920" w:type="dxa"/>
            <w:vAlign w:val="bottom"/>
            <w:gridSpan w:val="3"/>
            <w:shd w:val="clear" w:color="auto" w:fill="CCEEFF"/>
          </w:tcPr>
          <w:p>
            <w:pPr>
              <w:spacing w:after="0"/>
              <w:rPr>
                <w:sz w:val="23"/>
                <w:szCs w:val="23"/>
                <w:color w:val="auto"/>
              </w:rPr>
            </w:pPr>
          </w:p>
        </w:tc>
      </w:tr>
      <w:tr>
        <w:trPr>
          <w:trHeight w:val="196"/>
        </w:trPr>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March 31, 2025, the Company and the Bank meet all capital adequacy requirements to which they are subject.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March 31, 2025, and December 31, 2024,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March 31, 2025, and December 31, 2024 (in thousands except for ratios):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20" w:type="dxa"/>
            <w:vAlign w:val="bottom"/>
          </w:tcPr>
          <w:p>
            <w:pPr>
              <w:spacing w:after="0"/>
              <w:rPr>
                <w:sz w:val="13"/>
                <w:szCs w:val="13"/>
                <w:color w:val="auto"/>
              </w:rPr>
            </w:pPr>
          </w:p>
        </w:tc>
        <w:tc>
          <w:tcPr>
            <w:tcW w:w="23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Minimum Required to be Well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677,758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645,483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676,805</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644,576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548,661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516,387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547,890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515,661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759,924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419,564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418,974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311,095</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388,869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310,691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388,364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670,590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638,658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670,028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638,122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763,842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542,859</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510,926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542,404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510,498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415,127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446,686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414,779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311,904</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389,880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March 31, 2025, approximately $265.7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net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As of March 31, 2025, such derivatives were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used to hedge the variable cash flows associated with variable-rate liabilities. As of March 31, 2024, such derivatives were used to hedge the variable cash flows associated with variable-rate debt and variable-rate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$360.0 thousand will be reclassified as a reduction to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accrued interest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March 31, 2025, and 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463"/>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891"/>
        </w:trPr>
        <w:tc>
          <w:tcPr>
            <w:tcW w:w="4560" w:type="dxa"/>
            <w:vAlign w:val="bottom"/>
          </w:tcPr>
          <w:p>
            <w:pPr>
              <w:spacing w:after="0"/>
              <w:rPr>
                <w:sz w:val="24"/>
                <w:szCs w:val="24"/>
                <w:color w:val="auto"/>
              </w:rPr>
            </w:pPr>
          </w:p>
        </w:tc>
        <w:tc>
          <w:tcPr>
            <w:tcW w:w="3140" w:type="dxa"/>
            <w:vAlign w:val="bottom"/>
            <w:gridSpan w:val="2"/>
          </w:tcPr>
          <w:p>
            <w:pPr>
              <w:jc w:val="right"/>
              <w:ind w:right="1894"/>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March 31, 2025, and March 31,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3,368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months ended March 31, 2025, and March 31, 2024 (in thousands).</w:t>
      </w:r>
    </w:p>
    <w:p>
      <w:pPr>
        <w:spacing w:after="0" w:line="14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w:t>
      </w: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Value and Cash Flow Hedging 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596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 statement of financial</w:t>
            </w:r>
          </w:p>
        </w:tc>
        <w:tc>
          <w:tcPr>
            <w:tcW w:w="440" w:type="dxa"/>
            <w:vAlign w:val="bottom"/>
            <w:tcBorders>
              <w:top w:val="single" w:sz="8" w:color="auto"/>
            </w:tcBorders>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performance in which the effects of fair value or cash flow hedges are recorded.</w:t>
            </w:r>
          </w:p>
        </w:tc>
        <w:tc>
          <w:tcPr>
            <w:tcW w:w="4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Gain or (loss) on fair value hedging relationships in Subtopic 815-20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w:t>
            </w:r>
          </w:p>
        </w:tc>
        <w:tc>
          <w:tcPr>
            <w:tcW w:w="4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transaction is no longer probable of occurring</w:t>
            </w: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8"/>
        <w:spacing w:after="0" w:line="281"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fair value of derivatives in a liability position, which includes accrued interest but excludes any adjustment for non-performance risk related to these agreements, was $0.2 million. As of March 31, 2024, the fair value of derivatives in a net liability position, which includes accrued interest but excludes any adjustment for non-performance risk related to these agreements, was $0.5 million. As of March 31, 2025 and as of March 31, 2024 , the Company has posted the full amount of collateral related to these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March 31, 2025, and December 31,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969,317</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off-balance-sheet credit exposures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recapture of credit losses on unfunded commitments of $398.8 thousand and zero provision for credit losses on unfunded commitments for the three months ended March 31, 2025 and March 31, 2024, respectively. The ACL on off-balance-sheet credit totaled $3.6 million and $4.0 million as of March 31, 2025, and December 31, 2024, and is included in accrued interest and other liabilities on the accompanying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 as of March 31, 2025, and December 31,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Merger, at March 31, 2025, we acquired an investment in an S&amp;P 500 index mutual fund that is traded on an exchange, and we classify it as Level 2.</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other assets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 at fair value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151,793</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716,545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716,545</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53,893</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246,032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40,811</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135,010</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31,999</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1,285,076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1,436,869</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12,258</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1,432,371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(recapture of)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 Using: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9"/>
          </w:tcPr>
          <w:p>
            <w:pPr>
              <w:ind w:left="1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5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54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 (in thousands except for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5"/>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March 31, 2025, and December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85,552</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5,579,754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5,448,804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5,448,804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34,481</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1,382,427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1,382,427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1,382,427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5,151,550</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299,696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94,334</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16,321</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gridSpan w:val="9"/>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24"/>
                <w:szCs w:val="24"/>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4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0" w:type="dxa"/>
            <w:vAlign w:val="bottom"/>
          </w:tcPr>
          <w:p>
            <w:pPr>
              <w:spacing w:after="0"/>
              <w:rPr>
                <w:sz w:val="1"/>
                <w:szCs w:val="1"/>
                <w:color w:val="auto"/>
              </w:rPr>
            </w:pPr>
          </w:p>
        </w:tc>
      </w:tr>
      <w:tr>
        <w:trPr>
          <w:trHeight w:val="195"/>
        </w:trPr>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5,604,196</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5,465,722</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4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5,135,299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0" w:type="dxa"/>
            <w:vAlign w:val="bottom"/>
          </w:tcPr>
          <w:p>
            <w:pPr>
              <w:spacing w:after="0"/>
              <w:rPr>
                <w:sz w:val="1"/>
                <w:szCs w:val="1"/>
                <w:color w:val="auto"/>
              </w:rPr>
            </w:pPr>
          </w:p>
        </w:tc>
      </w:tr>
      <w:tr>
        <w:trPr>
          <w:trHeight w:val="195"/>
        </w:trPr>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365,000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0" w:type="dxa"/>
            <w:vAlign w:val="bottom"/>
          </w:tcPr>
          <w:p>
            <w:pPr>
              <w:spacing w:after="0"/>
              <w:rPr>
                <w:sz w:val="1"/>
                <w:szCs w:val="1"/>
                <w:color w:val="auto"/>
              </w:rPr>
            </w:pPr>
          </w:p>
        </w:tc>
      </w:tr>
      <w:tr>
        <w:trPr>
          <w:trHeight w:val="139"/>
        </w:trPr>
        <w:tc>
          <w:tcPr>
            <w:tcW w:w="338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0" w:type="dxa"/>
            <w:vAlign w:val="bottom"/>
          </w:tcPr>
          <w:p>
            <w:pPr>
              <w:spacing w:after="0"/>
              <w:rPr>
                <w:sz w:val="1"/>
                <w:szCs w:val="1"/>
                <w:color w:val="auto"/>
              </w:rPr>
            </w:pPr>
          </w:p>
        </w:tc>
      </w:tr>
      <w:tr>
        <w:trPr>
          <w:trHeight w:val="193"/>
        </w:trPr>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months ended March 31, 2025, and March 31,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(88,024)</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months ended March 31, 2025, and March 31, 2024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line="248" w:lineRule="auto"/>
        <w:rPr>
          <w:sz w:val="20"/>
          <w:szCs w:val="20"/>
          <w:color w:val="auto"/>
        </w:rPr>
      </w:pPr>
      <w:r>
        <w:rPr>
          <w:rFonts w:ascii="Times New Roman" w:cs="Times New Roman" w:eastAsia="Times New Roman" w:hAnsi="Times New Roman"/>
          <w:sz w:val="16"/>
          <w:szCs w:val="16"/>
          <w:b w:val="1"/>
          <w:bCs w:val="1"/>
          <w:color w:val="auto"/>
        </w:rPr>
        <w:t>Details about Accumulated Other Comprehensive Income Components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p>
      <w:pPr>
        <w:jc w:val="center"/>
        <w:ind w:right="2900"/>
        <w:spacing w:after="0"/>
        <w:rPr>
          <w:sz w:val="20"/>
          <w:szCs w:val="20"/>
          <w:color w:val="auto"/>
        </w:rPr>
      </w:pPr>
      <w:r>
        <w:rPr>
          <w:rFonts w:ascii="Times New Roman" w:cs="Times New Roman" w:eastAsia="Times New Roman" w:hAnsi="Times New Roman"/>
          <w:sz w:val="16"/>
          <w:szCs w:val="16"/>
          <w:b w:val="1"/>
          <w:bCs w:val="1"/>
          <w:color w:val="auto"/>
        </w:rPr>
        <w:t>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Borders>
              <w:top w:val="single" w:sz="8" w:color="auto"/>
              <w:bottom w:val="single" w:sz="8" w:color="auto"/>
            </w:tcBorders>
            <w:gridSpan w:val="2"/>
          </w:tcPr>
          <w:p>
            <w:pPr>
              <w:ind w:left="1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Affected Line Item in the Statements of</w:t>
            </w:r>
          </w:p>
        </w:tc>
      </w:tr>
      <w:tr>
        <w:trPr>
          <w:trHeight w:val="206"/>
        </w:trPr>
        <w:tc>
          <w:tcPr>
            <w:tcW w:w="20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1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Income</w:t>
            </w:r>
          </w:p>
        </w:tc>
      </w:tr>
    </w:tbl>
    <w:p>
      <w:pPr>
        <w:spacing w:after="0" w:line="4" w:lineRule="exact"/>
        <w:rPr>
          <w:sz w:val="20"/>
          <w:szCs w:val="20"/>
          <w:color w:val="auto"/>
        </w:rPr>
      </w:pPr>
    </w:p>
    <w:p>
      <w:pPr>
        <w:sectPr>
          <w:pgSz w:w="11900" w:h="16838" w:orient="portrait"/>
          <w:cols w:equalWidth="0" w:num="2">
            <w:col w:w="4020" w:space="180"/>
            <w:col w:w="7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gains/(losses) on securities</w:t>
            </w:r>
          </w:p>
        </w:tc>
        <w:tc>
          <w:tcPr>
            <w:tcW w:w="0" w:type="dxa"/>
            <w:vAlign w:val="bottom"/>
          </w:tcPr>
          <w:p>
            <w:pPr>
              <w:spacing w:after="0"/>
              <w:rPr>
                <w:sz w:val="1"/>
                <w:szCs w:val="1"/>
                <w:color w:val="auto"/>
              </w:rPr>
            </w:pPr>
          </w:p>
        </w:tc>
      </w:tr>
      <w:tr>
        <w:trPr>
          <w:trHeight w:val="165"/>
        </w:trPr>
        <w:tc>
          <w:tcPr>
            <w:tcW w:w="42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Realized gains (losses) on basis adjustment for fair value</w:t>
            </w:r>
          </w:p>
        </w:tc>
        <w:tc>
          <w:tcPr>
            <w:tcW w:w="9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4"/>
                <w:szCs w:val="14"/>
                <w:color w:val="auto"/>
              </w:rPr>
            </w:pPr>
          </w:p>
        </w:tc>
        <w:tc>
          <w:tcPr>
            <w:tcW w:w="2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hedges</w:t>
            </w:r>
          </w:p>
        </w:tc>
        <w:tc>
          <w:tcPr>
            <w:tcW w:w="9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17"/>
                <w:szCs w:val="17"/>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months ended March 31, 2025, and March 31,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&amp; other regulatory assessments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card, &amp; network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15,458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incurred Merger-related expenses of zero and $663.0 thousand for the three months ended March 31, 2025 and March 31, 2024,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are included in the consultant fees, audit fees, legal expense, donation, and other line items detailed in other operating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cost that has been charged against income for the share-based awards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granted was $1.3 million and $590.5 thousand for the three months ended March 31, 2025, and March 31, 2024, respectively. The total income tax benefit was $264.7 thousand and $124.0 thousand for the three months ended March 31, 2025, and March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“Bank Board).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Company’s Board of Directors (the “Board”) and shareholders. Upon the plan’s shareholder approval date of March 30, 2023, no further share-based awards will be issued under the 2019 SIP. The 2023 SIP provides for the issuance of share-based awards to directors and employees of the Company. The 2023 SIP authorized the issuance of 250,000 shares, subject to an annual increase in available shares and shares and shares recycled from the 2019 SIP that were cancelled. Based on our shares outstanding as of March 31, 2025, and awards that were recycled from the 2019 SIP, the total shares authorized for issuance under the plan as of March 31, 2025 was 324,887.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77,441 and zero shares were issued during the three months ended March 31, 2025, and March 31, 2024,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spacing w:after="0" w:line="1" w:lineRule="exact"/>
        <w:rPr>
          <w:sz w:val="20"/>
          <w:szCs w:val="20"/>
          <w:color w:val="auto"/>
        </w:rPr>
      </w:pPr>
    </w:p>
    <w:p>
      <w:pPr>
        <w:jc w:val="both"/>
        <w:ind w:firstLine="8"/>
        <w:spacing w:after="0" w:line="255"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4020" w:type="dxa"/>
            <w:vAlign w:val="bottom"/>
            <w:vMerge w:val="continue"/>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4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4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898"/>
        </w:trPr>
        <w:tc>
          <w:tcPr>
            <w:tcW w:w="4020" w:type="dxa"/>
            <w:vAlign w:val="bottom"/>
          </w:tcPr>
          <w:p>
            <w:pPr>
              <w:spacing w:after="0"/>
              <w:rPr>
                <w:sz w:val="24"/>
                <w:szCs w:val="24"/>
                <w:color w:val="auto"/>
              </w:rPr>
            </w:pPr>
          </w:p>
        </w:tc>
        <w:tc>
          <w:tcPr>
            <w:tcW w:w="406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was $8.4 million of total unrecognized compensation costs related to non-vested shares granted under both the 2019 SIP and 2023 SIP. The cost is expected to be recognized over a weighted average period of 1.57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Employee Stock Purchase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an employee stock purchase plan (“2023 ESPP”) was approved by the Board and shareholders. Upon the 2023 ESPP’s shareholder approval date of March 30, 2023, the 2023 ESPP reserved 250,000 shares of common stock for issuance to employees, subject to an annual increase in reserved shares. At March 31, 2025, 305,210 shares were available to be issued. Whole shares are sold to participants in the 2023 ESPP at 85% of the lower of the stock price at the beginning or end of each semi-annual offering period. The first semi-annual offering period began on September 1, 2023, and the current semi-annual offering period began on March 1, 2025. Eligible employees may purchase shares in an amount that does not exceed the lesser of the IRS limit of $25,000 or 15% of their annual salary.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for the three months ended March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9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 (“SARs”)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completion of the Merger and as a part of the Merger Agreement, Burke &amp; Herbert assumed SAR awards that had been issued to existing employees that would continue with the same terms and conditions adjusted for the exchange ratio of 0.5043. As part of the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2019 SAR</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2021 SAR</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16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7 years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1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886"/>
        </w:trPr>
        <w:tc>
          <w:tcPr>
            <w:tcW w:w="4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7"/>
        </w:trPr>
        <w:tc>
          <w:tcPr>
            <w:tcW w:w="4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 and option activity during the three months ended March 31,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expect per share</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19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9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5"/>
                <w:szCs w:val="15"/>
                <w:color w:val="auto"/>
              </w:rPr>
            </w:pPr>
          </w:p>
        </w:tc>
        <w:tc>
          <w:tcPr>
            <w:tcW w:w="1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10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(Yrs.)</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(or acquired)</w:t>
            </w: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March 31, 2025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SARs exercised was $7.5 thousand during the three months ended March 31, 2025. The total fair value of SARs vested was $78.0 thousand during the three months ended March 31, 2025. As of March 31, 2025, there was $508.1 thousand of total unrecognized compensation costs related to non-vested SARs acquired through the Merger. The cost is expected to be recognized over a weighted average period of 2.38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 (in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57"/>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7,433,481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7,527,489</w:t>
            </w:r>
          </w:p>
        </w:tc>
      </w:tr>
      <w:tr>
        <w:trPr>
          <w:trHeight w:val="237"/>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bl>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awards equivalent to 41,553 and zero shares of common stock were not considered in computing diluted earnings per common share for the three months ended March 31, 2025, and March 31, 2024, respectively, because they are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May 3, 2024, Burke &amp; Herbert completed the Merger with Summit, pursuant to the Merger Agreement.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accounted for the Merger using the acquisition method of accounting in accordance with ASC 805, Business Combinations, and accordingly, the assets and liabilities of Summit were recorded at their respective fair values on the date of completion of the Merger. We recognized goodwill of $32.8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 The fair values of assets and liabilities are subject to refinement for up to one year after the acquisition date if any additional information relative to the acquisition date fair values becomes available. The following table summarizes adjustments to goodwill subsequent to December 31, 2024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goodwill acquired in conjunction with the acquisition of Summit</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 to goodwill resulted in additional review of deferred tax asset estimates that were established during the Merger.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intangible assets related to core deposits was $68.8 million on the date of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After the Merger, all of the securities, held-to-maturity, were reclassified as available-for-sale.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goodwill at the acquisition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9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6"/>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56"/>
        </w:trPr>
        <w:tc>
          <w:tcPr>
            <w:tcW w:w="9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9"/>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23"/>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37"/>
        </w:trPr>
        <w:tc>
          <w:tcPr>
            <w:tcW w:w="9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r>
      <w:tr>
        <w:trPr>
          <w:trHeight w:val="223"/>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32,842</w:t>
            </w:r>
          </w:p>
        </w:tc>
      </w:tr>
      <w:tr>
        <w:trPr>
          <w:trHeight w:val="898"/>
        </w:trPr>
        <w:tc>
          <w:tcPr>
            <w:tcW w:w="9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9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Recorded</w:t>
            </w:r>
          </w:p>
        </w:tc>
        <w:tc>
          <w:tcPr>
            <w:tcW w:w="204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9"/>
        </w:trPr>
        <w:tc>
          <w:tcPr>
            <w:tcW w:w="594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by Summit</w:t>
            </w:r>
          </w:p>
        </w:tc>
        <w:tc>
          <w:tcPr>
            <w:tcW w:w="20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04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 of allowance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54,432</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4,617,633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4,503,043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283,398</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4,165,232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4,138,440</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452,401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364,603</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32,842</w:t>
            </w:r>
          </w:p>
        </w:tc>
      </w:tr>
      <w:tr>
        <w:trPr>
          <w:trHeight w:val="736"/>
        </w:trPr>
        <w:tc>
          <w:tcPr>
            <w:tcW w:w="5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41</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7"/>
        </w:trPr>
        <w:tc>
          <w:tcPr>
            <w:tcW w:w="59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three months ended March 31, 2025, and March 31,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0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03"/>
        </w:trPr>
        <w:tc>
          <w:tcPr>
            <w:tcW w:w="7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10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adjustment</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4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32,842</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recorded $32.8 million of goodwill associated with the acquisition of Summit. See </w:t>
      </w:r>
      <w:r>
        <w:rPr>
          <w:rFonts w:ascii="Times New Roman" w:cs="Times New Roman" w:eastAsia="Times New Roman" w:hAnsi="Times New Roman"/>
          <w:sz w:val="18"/>
          <w:szCs w:val="18"/>
          <w:u w:val="single" w:color="auto"/>
          <w:color w:val="0000FF"/>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Combination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for additional detail regarding this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recorded $68.8 million of core deposit intangibles associated with the acquisition of Summit.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for the three months ended March 31, 2025, and March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1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acquired</w:t>
            </w:r>
          </w:p>
        </w:tc>
        <w:tc>
          <w:tcPr>
            <w:tcW w:w="1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$4.3 million for the three months ended March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46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2025</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w:t>
            </w:r>
          </w:p>
        </w:tc>
      </w:tr>
      <w:tr>
        <w:trPr>
          <w:trHeight w:val="898"/>
        </w:trPr>
        <w:tc>
          <w:tcPr>
            <w:tcW w:w="4660" w:type="dxa"/>
            <w:vAlign w:val="bottom"/>
          </w:tcPr>
          <w:p>
            <w:pPr>
              <w:spacing w:after="0"/>
              <w:rPr>
                <w:sz w:val="24"/>
                <w:szCs w:val="24"/>
                <w:color w:val="auto"/>
              </w:rPr>
            </w:pPr>
          </w:p>
        </w:tc>
        <w:tc>
          <w:tcPr>
            <w:tcW w:w="428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performance is evaluated using consolidated net income. 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2024, included in our Form 10-K filed with the SEC on March 17, 2025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within the meaning of the Private Securities Litigation Reform Act of 1995, Section 27A of the Securities Act of 1933, as amended, and Section 21E of the Securities Exchange Act of 1934, as amended, with respect to the beliefs, goals, intentions, and expectations of the Company regarding revenues, earnings, earnings per share, loan production, asset quality, and capital levels, among other matters; our estimates of future costs and benefits of the actions we may take; our assessments of expected losses on loans; our assessments of interest rate and other market risks; our ability to achieve our financial and other strategic goals; and other statements that are not historical facts.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Additionally, forward–looking statements speak only as of the date they are made; the Company does not assume any duty, does not undertake, and specifically disclaims any obligation to update such forward–looking statements, whether written or oral, that may be made from time to time, whether because of new information, future events, or otherwise, except as required by law. Furthermore, because forward–looking statements are subject to assumptions and uncertainties, actual results or future events could differ, possibly materially, from those indicated in or implied by such forward-looking statements because of a variety of factors, many of which are beyond the control of the Company.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the Company. Accordingly, you should consider all of these risks, uncertainties and other factors carefully in evaluating all such forward-looking statements made by the Company and not place undue reliance on forward-looking statements. The risks and uncertainties that could cause actual results to differ from those described in the forward-looking statements include, but are not limited to, the following: costs or difficulties associated with newly developed or acquired operations; changes in general economic, political, or market trends (either nationally or locally in the areas in which we conduct, or will conduct, business), including inflation, changes in interest rates, market volatility and monetary fluctuations, and changes in federal government policies and practices, as well as the impact from recently announced and future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and the other factors discussed in the “Risk Factors” and “Management's Discussion and Analysis of Financial Condition and Results of Operations” section of the Company's Annual Report on Form 10–K for the year ended December 31, 2024 and in Part I, Item 2. Management’s Discussion and Analysis of Financial Condition and Results of Operations and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 &amp; Trust Company. The Company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total consolidated assets of $7.8 billion, gross loans of $5.6 billion, total deposits of $6.5 billion, and total shareholders’ equity of $758.0 million. As of March 31, 2025, we had 814 full-time employees. None of our employees are covered by a collective bargaining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the Closing Date, Burke &amp; Herbert completed the Merger with Summit, pursuant to the August 24, 2023 Merger Agreement.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through the Merger, and (ii) immediately following the Merger, SCB merged with and into the Bank, with the Bank as the surviving bank.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newly created Burke &amp; Herbert Series 2021 Preferred Stock. Summit results of operations are included from the Closing Date forward.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identified several accounting policies that, due to the estimates, assumptions, and judgments inherent in those policies, are critical in understanding our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Goodwill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w:t>
      </w:r>
    </w:p>
    <w:p>
      <w:pPr>
        <w:spacing w:after="0" w:line="6" w:lineRule="exact"/>
        <w:rPr>
          <w:sz w:val="20"/>
          <w:szCs w:val="20"/>
          <w:color w:val="auto"/>
        </w:rPr>
      </w:pPr>
    </w:p>
    <w:p>
      <w:pPr>
        <w:jc w:val="both"/>
        <w:ind w:firstLine="8"/>
        <w:spacing w:after="0" w:line="271" w:lineRule="auto"/>
        <w:tabs>
          <w:tab w:leader="none" w:pos="34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underwriting and delinquency trends. The qualitative factors applied at March 31, 2025,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2024, Consolidated Financial Statements of the Company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rising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However, in late 2024 interest rates began falling, and in January 2025 the U.S. president signed an executive order requiring all federal employees to return to offices on a five-day-a-week basis. Additionally, several large private-sector employers instituted similar return to office mandates in 2024. We would expect the federal return to office mandate, combined with mandates at private sector employers and decreasing interest rates could help the region’s CRE office market; however, we cannot be certain that this would be the case or the degree to which such mandates may improve the CRE sector in our markets in 2025, if at all. Additionally, recent reductions, and possible further reductions, in the federal workforce, combined with general economic uncertainty as a result of federal trade and other policies could continue to challenge the economy and impact the CRE sector. The Bank’s exposure to CRE at March 31, 2025, was $2.8 billion, or 49.7%, of its gross loan portfolio, not including owner-occupied commercial real estate and acquisition, construction &amp; development. Commercial real estate as a percent of total assets at March 31, 2025, was 35.8%, not including owner-occupied commercial real estate and acquisition, construction &amp; development. Including owner-occupied commercial real estate and acquisition, construction &amp; development, total exposure was at $3.7 billion, or 65.8%, of our total gross loans and 47.4% of total assets at March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March 31,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4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2,809,573</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49.7 %</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589,889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150,457</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5,647,507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Bank’s commercial real estate, owner-occupied commercial real estate, and acquisition, construction &amp; development portfolios by collateral type and geographic location as of March 31,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36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293,183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605,666</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520,362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461,164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389,077</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277,562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117,463</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43,141</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148,936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234,546</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1,383,629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2,809,573</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 resource</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extraction</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257,012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589,889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16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130,649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101,661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69,876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322,963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acquisition, construction &amp; development loans. For each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management reviews the adequacy of the construction budget, adequacy of the interest reserve, pace of construction, and review of any loan covenants.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46.8%), and the Bank does not have significant exposure to any economic areas of the country that are underperforming the national economy. Additionally, the Bank’s overall exposure to the “Office Building / Condo” collateral type is 15.9%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438" w:lineRule="auto"/>
        <w:rPr>
          <w:sz w:val="20"/>
          <w:szCs w:val="20"/>
          <w:color w:val="auto"/>
        </w:rPr>
      </w:pPr>
      <w:r>
        <w:rPr>
          <w:rFonts w:ascii="Times New Roman" w:cs="Times New Roman" w:eastAsia="Times New Roman" w:hAnsi="Times New Roman"/>
          <w:sz w:val="18"/>
          <w:szCs w:val="18"/>
          <w:color w:val="auto"/>
        </w:rPr>
        <w:t xml:space="preserve">Financial Statements for additional information regarding outstanding balances of sources of liquidity and contractual commitments and obligations. </w:t>
      </w:r>
      <w:r>
        <w:rPr>
          <w:rFonts w:ascii="Times New Roman" w:cs="Times New Roman" w:eastAsia="Times New Roman" w:hAnsi="Times New Roman"/>
          <w:sz w:val="18"/>
          <w:szCs w:val="18"/>
          <w:b w:val="1"/>
          <w:bCs w:val="1"/>
          <w:i w:val="1"/>
          <w:iCs w:val="1"/>
          <w:color w:val="auto"/>
        </w:rPr>
        <w:t>Capital</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Framework also provides for a “counter-cyclical capital buffer” that is applicable to only certain covered institutions and does not have any current applicability to the Company or the Bank.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2025, and December 31, 2024,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 elsewhere in this Report as well as with the audited consolidated financial statements and notes for the year ended December 31, 2024, included in our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the effects of pandemics, political conflicts, political instability, trade policies, including tariffs and other barriers to trade, the availability of labor, supply chain volatility, and any actions taken to mitigate and manage such impacts;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March 31, 2025, and March 31, 2024, and the selected income statement data for the three months ended March 31, 2025, and March 31, 2024, have been derived from our consolidated financial statements included elsewhere in this Form 10-Q and in other filings we have submitted with the SEC and should be read in conjunction with the other information contained in this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the Three Months Ended March 31,</w:t>
            </w:r>
          </w:p>
        </w:tc>
      </w:tr>
      <w:tr>
        <w:trPr>
          <w:trHeight w:val="214"/>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16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7,838,090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3,696,390</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54,077</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1,436,869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1,275,520</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5,579,754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2,093,549</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94,755</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61,576</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6,541,871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2,990,113</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360,000</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758,000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319,308</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747,587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319,308</w:t>
            </w:r>
          </w:p>
        </w:tc>
      </w:tr>
    </w:tbl>
    <w:p>
      <w:pPr>
        <w:spacing w:after="0" w:line="26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110,786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38,745</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16,614</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72,987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22,131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(recapture)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(670)</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4,254</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21,165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5,890</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shares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5,212</w:t>
            </w: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14,976,483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7,433,481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15,026,376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7,527,489</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14,982,807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7,440,025</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0.69</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76.81 %</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 March</w:t>
      </w: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0.58 %</w:t>
            </w:r>
          </w:p>
        </w:tc>
      </w:tr>
      <w:tr>
        <w:trPr>
          <w:trHeight w:val="219"/>
        </w:trPr>
        <w:tc>
          <w:tcPr>
            <w:tcW w:w="7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1"/>
                <w:szCs w:val="21"/>
                <w:color w:val="auto"/>
                <w:vertAlign w:val="superscript"/>
              </w:rPr>
              <w:t>(2)</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6.67</w:t>
            </w:r>
          </w:p>
        </w:tc>
      </w:tr>
      <w:tr>
        <w:trPr>
          <w:trHeight w:val="216"/>
        </w:trPr>
        <w:tc>
          <w:tcPr>
            <w:tcW w:w="7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(3)</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w:t>
            </w:r>
          </w:p>
        </w:tc>
      </w:tr>
      <w:tr>
        <w:trPr>
          <w:trHeight w:val="216"/>
        </w:trPr>
        <w:tc>
          <w:tcPr>
            <w:tcW w:w="7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(4)</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r>
      <w:tr>
        <w:trPr>
          <w:trHeight w:val="216"/>
        </w:trPr>
        <w:tc>
          <w:tcPr>
            <w:tcW w:w="7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(5)</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59.83</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80.22</w:t>
            </w:r>
          </w:p>
        </w:tc>
      </w:tr>
      <w:tr>
        <w:trPr>
          <w:trHeight w:val="270"/>
        </w:trPr>
        <w:tc>
          <w:tcPr>
            <w:tcW w:w="79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11.77 %</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16.56 %</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17.54</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16.56</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10.12</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11.36</w:t>
            </w:r>
          </w:p>
        </w:tc>
      </w:tr>
      <w:tr>
        <w:trPr>
          <w:trHeight w:val="273"/>
        </w:trPr>
        <w:tc>
          <w:tcPr>
            <w:tcW w:w="79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104.63</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91.99</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0.72</w:t>
            </w:r>
          </w:p>
        </w:tc>
      </w:tr>
      <w:tr>
        <w:trPr>
          <w:trHeight w:val="270"/>
        </w:trPr>
        <w:tc>
          <w:tcPr>
            <w:tcW w:w="7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bl>
    <w:p>
      <w:pPr>
        <w:spacing w:after="0" w:line="72" w:lineRule="exact"/>
        <w:rPr>
          <w:sz w:val="20"/>
          <w:szCs w:val="20"/>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payout ratio represents per share dividends declared divided by diluted earnings per share.</w:t>
      </w:r>
    </w:p>
    <w:p>
      <w:pPr>
        <w:spacing w:after="0" w:line="109"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equity computed using total average equity at period-end.</w:t>
      </w:r>
    </w:p>
    <w:p>
      <w:pPr>
        <w:spacing w:after="0" w:line="122" w:lineRule="exact"/>
        <w:rPr>
          <w:rFonts w:ascii="Times New Roman" w:cs="Times New Roman" w:eastAsia="Times New Roman" w:hAnsi="Times New Roman"/>
          <w:sz w:val="14"/>
          <w:szCs w:val="14"/>
          <w:color w:val="auto"/>
        </w:rPr>
      </w:pPr>
    </w:p>
    <w:p>
      <w:pPr>
        <w:ind w:left="340" w:hanging="8"/>
        <w:spacing w:after="0" w:line="302" w:lineRule="auto"/>
        <w:tabs>
          <w:tab w:leader="none" w:pos="54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53"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109" w:lineRule="exact"/>
        <w:rPr>
          <w:sz w:val="20"/>
          <w:szCs w:val="20"/>
          <w:color w:val="auto"/>
        </w:rPr>
      </w:pPr>
    </w:p>
    <w:p>
      <w:pPr>
        <w:ind w:right="44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March 31, 2025, and March 31, 2024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applicable to common shares for the three months ended March 31, 2025, was $27.0 million, compared to net income applicable to common shares of $5.2 million during the three months ended March 31, 2024. The $21.8 million increase was primarily due to results that reflect combined income after the Merger completion for the three months ended March 31, 2025, compared to the three months ended March 31, 2024.</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$50.9 million to $73.0 million for the three months ended March 31, 2025, compared to $22.1 million for the three months ended March 31, 2024. The main driver for this increase was the impact of the Merger.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credit provision expense of $0.5 million compared to a provision recapture of $0.7 million for the three months ended March 31, 2024. For the three months ended March 31, 2025, the Company recognized additional credit loss expense on loans which led to an increase in credit provision expense for the three months ended March 31, 2025, compared to the three months ended March 31,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$5.8 million, or 135.6%, to $10.0 million for the three months ended March 31, 2025, as compared to $4.3 million for the three months ended March 31, 2024, as a result of the Merger. All categories of non-interest income increased as a result of the combined operations for the three months ended March 31, 2025, compared to the three months ended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increased by $28.5 million, or 134.7%, to $49.7 million for the three months ended March 31, 2025, as compared to $21.2 million for the three months ended March 31, 2024. The increase was primarily due to effect of the Merger.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totaled $73.0 million for the three months ended March 31, 2025, compared to $22.1 million for the three months ended March 31, 2024. The increase in net interest income was primarily driven by higher interest earning assets, higher rates, and higher accretion income, as a result of the Merger. Accretion income associated with acquired loans and borrowings totaled $11.4 million for the three months ended March 31, 2025. Amortization expense associated with fair value marks for time deposits, subordinated debt, and trust preferred securities totaled $2.2 million for the three months ended March 31, 2025.</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4.18% for the three months ended March 31, 2025, compared to 2.68% for the three months ended March 31, 2024. The increase in tax-adjusted net interest margin was primarily driven by the effect of the Merger and the acquisition of additional, higher-yielding interest-earning assets.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for the taxable loan portfolio was 6.96% for the three months ended March 31, 2025, compared to 5.41% for the three months ended March 31, 2024. The increase was primarily the result of the effect of the Merger, which resulted in the acquisition of additional, higher-yielding loans.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3.85% for the three months ended March 31, 2025, compared to 3.43% for the three months ended March 31, 2024. The increase was partly due to higher yields in our investment portfolio in addition to the Merger, which resulted in the acquisition of additional securities with higher tax-adjusted yields.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interest-bearing deposits increased to 2.53% during the three months ended March 31, 2025, from 2.41% during the three months ended March 31, 2024. The increase was a result of the Merger, which resulted in the assumption of additional interest-bearing deposits with higher interest rates.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our short-term borrowings for the three months ended March 31, 2025, was 3.88%, compared to 4.82% for the three months ended March 31, 2024. The decrease was due to decreases in the Federal Funds Rate and other short-term market rates. The yield on our subordinated debt assumed in the Merger was 9.85%.</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March 31, 2025, and March 31, 2024,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18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5,651,937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97,031</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6.96 %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5.41 %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5,655,994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97,090</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6.96 %</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2,085,826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28,045</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5.41 %</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54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5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 AFS securities and other</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1,039,391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989,875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Tax-exempt AFS securities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1,475,180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13,998</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1,249,574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7,171,931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3,377,092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39,107</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596,807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243,145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2.16 %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0.63 %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11,896</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5,103,391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2,158,456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6,475,006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2,970,655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 and 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5,552,019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37,799</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2,465,902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16,614</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750,830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73,868</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3.55 %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4.18 %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2.68 %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72,987</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22,131</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line="302"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9"/>
                <w:szCs w:val="19"/>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38,745</w:t>
            </w:r>
          </w:p>
        </w:tc>
      </w:t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16,614</w:t>
            </w:r>
          </w:p>
        </w:tc>
      </w:tr>
      <w:tr>
        <w:trPr>
          <w:trHeight w:val="199"/>
        </w:trPr>
        <w:tc>
          <w:tcPr>
            <w:tcW w:w="7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22,131</w:t>
            </w:r>
          </w:p>
        </w:tc>
      </w:tr>
      <w:tr>
        <w:trPr>
          <w:trHeight w:val="253"/>
        </w:trPr>
        <w:tc>
          <w:tcPr>
            <w:tcW w:w="7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22,493</w:t>
            </w:r>
          </w:p>
        </w:tc>
      </w:tr>
    </w:tbl>
    <w:p>
      <w:pPr>
        <w:spacing w:after="0" w:line="18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March 31, 2025, and March 31, 2024,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Three Months Ended March 31, 2025, compared to March 31,</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60,583</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69,045</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72,561</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13,828</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18,921</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18,457</w:t>
            </w: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54,104</w:t>
            </w:r>
          </w:p>
        </w:tc>
      </w:tr>
    </w:tbl>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loans and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income was $110.8 million for the three months ended March 31, 2025, compared to $38.7 million for the three months ended March 31, 2024, an increase of 185.9%. The increase in interest income was due to the effect of the Merger and the acquisition of additional interest-earning assets. Interest income on loans increased by $69.0 million and interest income on securities increased $2.5 million, for the three months ended March 31, 2025, compared to the three months ended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expense was $37.8 million for the three months ended March 31, 2025, compared to $16.6 million for the three months ended March 31, 2024. The increase in interest expense was a result of the Merger and the assumption of additional interest-bearing liabilities. Interest expense on interest-bearing deposits increased by $18.9 million for the three months ended March 31, 2025, compared to the three months ended March 31, 2024. Interest on subordinated debt acquired in the Merger was $2.7 million for the three months ended March 31, 2025, while interest expense on short-term borrowings amounted to $3.2 million for the three months ended March 31, 2025, compared to $3.7 million for the three months ended March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$0.5 million for the three months ended March 31, 2025, compared to a provision recapture of $0.7 million for the three months ended March 31, 2024. The increased provision expense was due to additional credit loss expense in the loan portfolio which was somewhat offset by a recapture in credit expense on off-balance sheet credit exposures, compared to the three months ended March 31, 2024. See </w:t>
      </w:r>
      <w:r>
        <w:rPr>
          <w:rFonts w:ascii="Times New Roman" w:cs="Times New Roman" w:eastAsia="Times New Roman" w:hAnsi="Times New Roman"/>
          <w:sz w:val="18"/>
          <w:szCs w:val="18"/>
          <w:u w:val="single" w:color="auto"/>
          <w:color w:val="0000FF"/>
        </w:rPr>
        <w:t>Note 4 - Allowance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218.9</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118.1</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154.8</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182.0</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135.6 %</w:t>
            </w: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Non-interest income increased 135.6% for the three months ended March 31, 2025, compared to the three months ended March 31, 2024. The increase was primarily driven by the Merger. The largest increase was a $1.8 million increase in bank debit and other card revenue for the three months ended March 31, 2025, compared to the three months ended March 31, 2024. This increase was driven by the Merger and the increase in card revenue as a result of the increase in the customer base. The second largest increase was a $1.4 million increase in service charges and fees for the three months ended March 31, 2025, compared to the three months ended March 31, 2024. This increase was primarily driven by an increase in deposit-based fees of $1.3 million for the three months ended March 31, 2025, compared to the three months ended March 31, 2024, resulting from the increase in accounts as a result of the Merger. All other categories of non-interest income also increased, primarily due to the Merger for the three months ended March 31, 2025, compared to the three months ended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2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28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120.0 %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80" w:type="dxa"/>
            <w:vAlign w:val="bottom"/>
          </w:tcPr>
          <w:p>
            <w:pPr>
              <w:spacing w:after="0"/>
              <w:rPr>
                <w:sz w:val="18"/>
                <w:szCs w:val="18"/>
                <w:color w:val="auto"/>
              </w:rPr>
            </w:pPr>
          </w:p>
        </w:tc>
        <w:tc>
          <w:tcPr>
            <w:tcW w:w="16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117.2</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163.0</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80" w:type="dxa"/>
            <w:vAlign w:val="bottom"/>
          </w:tcPr>
          <w:p>
            <w:pPr>
              <w:spacing w:after="0"/>
              <w:rPr>
                <w:sz w:val="18"/>
                <w:szCs w:val="18"/>
                <w:color w:val="auto"/>
              </w:rPr>
            </w:pPr>
          </w:p>
        </w:tc>
        <w:tc>
          <w:tcPr>
            <w:tcW w:w="16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218.8</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139.2</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28,499</w:t>
            </w:r>
          </w:p>
        </w:tc>
        <w:tc>
          <w:tcPr>
            <w:tcW w:w="80" w:type="dxa"/>
            <w:vAlign w:val="bottom"/>
          </w:tcPr>
          <w:p>
            <w:pPr>
              <w:spacing w:after="0"/>
              <w:rPr>
                <w:sz w:val="17"/>
                <w:szCs w:val="17"/>
                <w:color w:val="auto"/>
              </w:rPr>
            </w:pP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134.7 %</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Non-interest expense increased $28.5 million, or 134.7%, for the three months ended March 31, 2025, compared to March 31, 2024. The increase was primarily due to effect of the Merger. All other categories of non-interest expense also increased, primarily due to the effect of the Merger, for the three months ended March 31, 2025, compared to the three months ended March 31, 2024. See </w:t>
      </w:r>
      <w:r>
        <w:rPr>
          <w:rFonts w:ascii="Times New Roman" w:cs="Times New Roman" w:eastAsia="Times New Roman" w:hAnsi="Times New Roman"/>
          <w:sz w:val="18"/>
          <w:szCs w:val="18"/>
          <w:u w:val="single" w:color="auto"/>
          <w:color w:val="0000FF"/>
        </w:rPr>
        <w:t>Note 13 — Other Operating Expense</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was $5.6 million for the three months ended March 31, 2025, an increase of $5.0 million from the tax provision for the three months ended March 31, 2024. The increase was due to the increase in net income and additional state taxes incurred in the combined market area after the Merger, for the three months ended March 31, 2025, when compared to the three months ended March 31, 2024. For the three months ended March 31, 2025, the effective tax rate was 17.2%, while the effective tax rate was 11.5% for March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March 31, 2025, and December 31,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increased by $25.9 million to $7.84 billion as of March 31, 2025, compared to $7.8 billion as of December 31, 2024. Loans, net of ACL, decreased by $24.4 million from $5.6 billion as of December 31, 2024, to $5.6 billion as of March 31, 2025. Deposits increased by $26.6 million and amounted to $6.5 billion at March 31, 2025, compared to $6.5 billion at December 31, 2024. Short-term borrowings decreased by $65.0 million to $300.0 million as of March 31, 2025, compared to $365.0 million at December 31, 2024. Subordinated debt and subordinated debt owed to unconsolidated subsidiary trusts, which were assumed in the Merger, totaled $113.3 million at March 31, 2025, compared to $111.9 million at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three months ended March 31, 2025, the unrealized losses on our holdings decreased $7.7 million from December 31, 2024.</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 Therefore, the Company has concluded that the unrealized losses for the AFS securities do not require an ACL at March 31, 2025, or at December 31, 2024.</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151,793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716,545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246,032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135,010</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1,546,361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110,984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1,436,869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31,820</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1,549,589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March 31, 2025. The actual timing of principal payments may differ from remaining contractual maturities because obligors may have the right to repay certain obligations with or without penalties. The overall weighted average duration of the Company’s investment portfolio is 4.6 years at March 31, 2025.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5,083</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0.41 %</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160,158</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1.34 %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165,241</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1.31 %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167,205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304,160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322,224</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795,589</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23,290</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57,304</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72,758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140,964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4.88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254,510</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23,859</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17,743</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41,602</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137,791</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35,336</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61,396</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32,928</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7.37</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94,717</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515,452</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2.93 %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558,838</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3.34 %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377,354</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1,546,361</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3.23 %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2,809,573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2,637,802</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614,362</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322,963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465,537</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613,085</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1,173,749</w:t>
            </w:r>
          </w:p>
        </w:tc>
      </w:tr>
      <w:tr>
        <w:trPr>
          <w:trHeight w:val="236"/>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150,457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167,701</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5,672,236</w:t>
            </w:r>
          </w:p>
        </w:tc>
      </w:tr>
      <w:tr>
        <w:trPr>
          <w:trHeight w:val="24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(67,753)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(68,040)</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5,579,754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5,604,196</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portfolio, excluding ACL, at March 31, 2025, decreased by $24.7 million primarily due to the exiting of loans that do not align with the Company’s desired risk profile.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March 31, 2025. The maturity distribution is grouped by remaining scheduled principal payments that are due in the following periods. The principal balance of loans is indicated by both fixed and floating rate categories in the table below (in thousands).</w:t>
      </w:r>
    </w:p>
    <w:p>
      <w:pPr>
        <w:spacing w:after="0" w:line="15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245,212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163,719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368,772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336,556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2,809,573</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589,889</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94,577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35,589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322,963</w:t>
            </w:r>
          </w:p>
        </w:tc>
        <w:tc>
          <w:tcPr>
            <w:tcW w:w="0" w:type="dxa"/>
            <w:vAlign w:val="bottom"/>
          </w:tcPr>
          <w:p>
            <w:pPr>
              <w:spacing w:after="0"/>
              <w:rPr>
                <w:sz w:val="1"/>
                <w:szCs w:val="1"/>
                <w:color w:val="auto"/>
              </w:rPr>
            </w:pPr>
          </w:p>
        </w:tc>
      </w:tr>
      <w:tr>
        <w:trPr>
          <w:trHeight w:val="195"/>
        </w:trPr>
        <w:tc>
          <w:tcPr>
            <w:tcW w:w="2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205,592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159,529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613,219</w:t>
            </w:r>
          </w:p>
        </w:tc>
        <w:tc>
          <w:tcPr>
            <w:tcW w:w="0" w:type="dxa"/>
            <w:vAlign w:val="bottom"/>
          </w:tcPr>
          <w:p>
            <w:pPr>
              <w:spacing w:after="0"/>
              <w:rPr>
                <w:sz w:val="1"/>
                <w:szCs w:val="1"/>
                <w:color w:val="auto"/>
              </w:rPr>
            </w:pPr>
          </w:p>
        </w:tc>
      </w:tr>
      <w:tr>
        <w:trPr>
          <w:trHeight w:val="189"/>
        </w:trPr>
        <w:tc>
          <w:tcPr>
            <w:tcW w:w="2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476,456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635,835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4,335,644</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470,146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1,161,406</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109,139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150,457</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1,428,282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645,123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967,000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5,647,507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 We regularly monitor the level of loan delinquencies and believe these levels are a key indicator of credit quality in our loan portfolio. We manage credit risk based on the risk profile of the borrower, repayment sources, underlying collateral, and other support given current events, economic conditions and expectations.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 quality remained relatively stable through the first quarter of 2025 with the nonaccrual loan balance increasing by $5.6 million from December 31, 2024. However, the Company’s loans 90 days past due and still accruing increased $20.8 million from December 31, 2024. The Company’s non-performing assets, which includes non-performing loans consisting of non-accrual loans, loans that are more than 90 days past due and still accruing, and other real estate owned as of March 31, 2025, totaled $67.4 million, up from $41.2 million at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March 31, 2025, and December 31, 2024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35,871</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r>
      <w:tr>
        <w:trPr>
          <w:trHeight w:val="216"/>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199"/>
        </w:trPr>
        <w:tc>
          <w:tcPr>
            <w:tcW w:w="7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ACL at a level deemed adequate by management for expected credit losses.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expense of $0.9 million and a provision recapture of $0.7 million on loans for the three months ended March 31, 2025, and March 31, 2024, respectively. The increase in provision expense for the three months ended was due and increase in expected losses under the CECL model.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charged-off loans were $1.4 million and $30.0 thousand for the three months ended March 31, 2025, and March 31, 2024, respectively. Gross recoveries totaled $237.0 thousand and $5.0 thousand for the three months ended March 31, 2025, and March 31, 2024, respectively. The ACL as a percentage of gross loans, net of unearned income, was 1.20% and 1.16% as of March 31, 2025, and March 31,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three months ended March 31, 2025, and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9"/>
                <w:szCs w:val="19"/>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5,647,507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2,118,155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(25,301)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18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(670)</w:t>
            </w: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(67,753)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(24,606)</w:t>
            </w:r>
          </w:p>
        </w:tc>
      </w:tr>
      <w:tr>
        <w:trPr>
          <w:trHeight w:val="253"/>
        </w:trPr>
        <w:tc>
          <w:tcPr>
            <w:tcW w:w="7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5,651,937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2,085,826</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81"/>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Allowance for credit losses as a percentage of non-performing loans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24"/>
                <w:szCs w:val="24"/>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91.99</w:t>
            </w:r>
          </w:p>
        </w:tc>
      </w:tr>
    </w:tbl>
    <w:p>
      <w:pPr>
        <w:spacing w:after="0" w:line="115"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and loans 90 days past due and still accruing at the end of the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March 31, 2025, and December 31,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20.56</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67,753</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accrued interest and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lines of credit from correspondent banking relationships. The Company also utilizes brokered time deposits. For more discussion of brokered time deposits, see the Deposits heading below this section.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has available unused borrowing capacity of $4.1 billion through its available lines of credit with the FHLB of Atlanta, the Federal Reserve Borrower-In-Custody Program line,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as of the three months ended March 31, 2025, and December 31, 2024,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365,000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200" w:type="dxa"/>
            <w:vAlign w:val="bottom"/>
          </w:tcPr>
          <w:p>
            <w:pPr>
              <w:spacing w:after="0"/>
              <w:rPr>
                <w:sz w:val="18"/>
                <w:szCs w:val="18"/>
                <w:color w:val="auto"/>
              </w:rPr>
            </w:pPr>
          </w:p>
        </w:tc>
        <w:tc>
          <w:tcPr>
            <w:tcW w:w="16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3.35%</w:t>
            </w:r>
          </w:p>
        </w:tc>
      </w:tr>
    </w:tbl>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long-term debt as of the three months ended March 31, 2025, and December 31, 2024,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17,013</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111,885</w:t>
            </w:r>
          </w:p>
        </w:tc>
      </w:tr>
      <w:tr>
        <w:trPr>
          <w:trHeight w:val="253"/>
        </w:trPr>
        <w:tc>
          <w:tcPr>
            <w:tcW w:w="7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slightly increased by $26.6 million from December 31, 2024, to March 31, 2025, primarily due to a continued focus on gathering deposits across our commercial and retail businesses. The Company has brokered time deposits that amounted to $246.9 million as of March 31, 2025, and $244.8 million at December 31, 2024. All of the Company’s brokered deposits are in the form of certificates of deposits that are insured by the FDIC. Excluding the brokered deposit balance, the total deposit balance increased by $24.5 million from December 31, 2024 to March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1,382,427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1,379,940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2,224,844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2,223,540</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1,658,480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244,802</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1,008,477</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5,159,444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5,135,299</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6,541,871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6,515,239</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$1.9 billion and $1.9 billion at March 31, 2025, and December 31, 2024, respectively. The Company does not have material deposit concentration risk to any significant market, industry or individual at March 31, 2025 or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March 31, 2025,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149,818</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103,935</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29,570</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8,933</w:t>
            </w:r>
          </w:p>
        </w:tc>
      </w:tr>
      <w:tr>
        <w:trPr>
          <w:trHeight w:val="20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292,256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March 31, 2025, was $758.0 million, compared to $730.2 million at December 31, 2024. Shareholders’ equity increased by $27.8 million mostly due to an increase in earnings since December 31, 2024. Accumulated other comprehensive income/(loss) decreased $7.7 million from December 31, 2024, to March 31, 2025, from $(95.7) million to $(88.0)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(0.7)</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March 31, 2025, and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jc w:val="center"/>
              <w:ind w:left="2935"/>
              <w:spacing w:after="0"/>
              <w:rPr>
                <w:sz w:val="20"/>
                <w:szCs w:val="20"/>
                <w:color w:val="auto"/>
              </w:rPr>
            </w:pPr>
            <w:r>
              <w:rPr>
                <w:rFonts w:ascii="Times New Roman" w:cs="Times New Roman" w:eastAsia="Times New Roman" w:hAnsi="Times New Roman"/>
                <w:sz w:val="18"/>
                <w:szCs w:val="18"/>
                <w:color w:val="auto"/>
                <w:w w:val="98"/>
              </w:rPr>
              <w:t>(3.7)</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(3.6)</w:t>
            </w:r>
          </w:p>
        </w:tc>
        <w:tc>
          <w:tcPr>
            <w:tcW w:w="20" w:type="dxa"/>
            <w:vAlign w:val="bottom"/>
          </w:tcPr>
          <w:p>
            <w:pPr>
              <w:spacing w:after="0"/>
              <w:rPr>
                <w:sz w:val="19"/>
                <w:szCs w:val="19"/>
                <w:color w:val="auto"/>
              </w:rPr>
            </w:pP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55"/>
              <w:spacing w:after="0"/>
              <w:rPr>
                <w:sz w:val="20"/>
                <w:szCs w:val="20"/>
                <w:color w:val="auto"/>
              </w:rPr>
            </w:pPr>
            <w:r>
              <w:rPr>
                <w:rFonts w:ascii="Times New Roman" w:cs="Times New Roman" w:eastAsia="Times New Roman" w:hAnsi="Times New Roman"/>
                <w:sz w:val="18"/>
                <w:szCs w:val="18"/>
                <w:color w:val="auto"/>
                <w:w w:val="98"/>
              </w:rPr>
              <w:t>(3.4)</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2025.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25, 2025, the Company announced that its Board authorized a share repurchase program pursuant to which the Company may purchase up to $50.0 million of the Company’s Common Stock in the open market or in privately negotiated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that are registered by the Company pursuant to Section 12 of the Exchange Act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1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shares that may yet be</w:t>
            </w:r>
          </w:p>
        </w:tc>
        <w:tc>
          <w:tcPr>
            <w:tcW w:w="0" w:type="dxa"/>
            <w:vAlign w:val="bottom"/>
          </w:tcPr>
          <w:p>
            <w:pPr>
              <w:spacing w:after="0"/>
              <w:rPr>
                <w:sz w:val="1"/>
                <w:szCs w:val="1"/>
                <w:color w:val="auto"/>
              </w:rPr>
            </w:pPr>
          </w:p>
        </w:tc>
      </w:tr>
      <w:tr>
        <w:trPr>
          <w:trHeight w:val="184"/>
        </w:trPr>
        <w:tc>
          <w:tcPr>
            <w:tcW w:w="2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8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30"/>
        </w:trPr>
        <w:tc>
          <w:tcPr>
            <w:tcW w:w="2240" w:type="dxa"/>
            <w:vAlign w:val="bottom"/>
            <w:gridSpan w:val="2"/>
            <w:vMerge w:val="continue"/>
          </w:tcPr>
          <w:p>
            <w:pPr>
              <w:spacing w:after="0"/>
              <w:rPr>
                <w:sz w:val="19"/>
                <w:szCs w:val="19"/>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 (1) (2)</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(3)</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2025</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2025</w:t>
            </w: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2025</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hanging="328"/>
        <w:spacing w:after="0" w:line="282" w:lineRule="auto"/>
        <w:tabs>
          <w:tab w:leader="none" w:pos="55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during the period were transferred to the Company from employees in satisfaction of minimum tax withholding obligations associated with the vesting of restricted stock units during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were purchased by the Company under any share repurchase program during the quarter ended March 31, 2025.</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had no share repurchase program authorized during the quarter ended March 31, 2025.</w:t>
      </w:r>
    </w:p>
    <w:p>
      <w:pPr>
        <w:spacing w:after="0" w:line="3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 xml:space="preserve">Articles of Incorporation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of the</w:t>
            </w:r>
          </w:p>
        </w:tc>
      </w:tr>
      <w:tr>
        <w:trPr>
          <w:trHeight w:val="209"/>
        </w:trPr>
        <w:tc>
          <w:tcPr>
            <w:tcW w:w="112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Registrant’s Form 10-Q filed August 13, 2024)</w:t>
            </w:r>
          </w:p>
        </w:tc>
        <w:tc>
          <w:tcPr>
            <w:tcW w:w="1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7"/>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 xml:space="preserve">Bylaws of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3.4 to the Registrant’s Form 10-Q</w:t>
            </w:r>
          </w:p>
        </w:tc>
      </w:tr>
      <w:tr>
        <w:trPr>
          <w:trHeight w:val="210"/>
        </w:trPr>
        <w:tc>
          <w:tcPr>
            <w:tcW w:w="1120" w:type="dxa"/>
            <w:vAlign w:val="bottom"/>
          </w:tcPr>
          <w:p>
            <w:pPr>
              <w:spacing w:after="0"/>
              <w:rPr>
                <w:sz w:val="18"/>
                <w:szCs w:val="18"/>
                <w:color w:val="auto"/>
              </w:rPr>
            </w:pPr>
          </w:p>
        </w:tc>
        <w:tc>
          <w:tcPr>
            <w:tcW w:w="4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filed May 10, 2024)</w:t>
            </w:r>
          </w:p>
        </w:tc>
        <w:tc>
          <w:tcPr>
            <w:tcW w:w="24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74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1"/>
        </w:trPr>
        <w:tc>
          <w:tcPr>
            <w:tcW w:w="112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Borders>
              <w:top w:val="single" w:sz="8" w:color="CCEEFF"/>
            </w:tcBorders>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The following materials from the registrant’s Form 10-Q Report for the quarterly period ended March 31, 2025, formatted in Inline</w:t>
            </w:r>
          </w:p>
        </w:tc>
      </w:tr>
      <w:tr>
        <w:trPr>
          <w:trHeight w:val="184"/>
        </w:trPr>
        <w:tc>
          <w:tcPr>
            <w:tcW w:w="1120" w:type="dxa"/>
            <w:vAlign w:val="bottom"/>
          </w:tcPr>
          <w:p>
            <w:pPr>
              <w:spacing w:after="0"/>
              <w:rPr>
                <w:sz w:val="16"/>
                <w:szCs w:val="16"/>
                <w:color w:val="auto"/>
              </w:rPr>
            </w:pPr>
          </w:p>
        </w:tc>
        <w:tc>
          <w:tcPr>
            <w:tcW w:w="994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XBRL: (i) the Consolidated Balance Sheets, (ii) the Consolidated Statements of Income, (iii) the Consolidated Statements of</w:t>
            </w:r>
          </w:p>
        </w:tc>
      </w:tr>
      <w:tr>
        <w:trPr>
          <w:trHeight w:val="180"/>
        </w:trPr>
        <w:tc>
          <w:tcPr>
            <w:tcW w:w="1120" w:type="dxa"/>
            <w:vAlign w:val="bottom"/>
          </w:tcPr>
          <w:p>
            <w:pPr>
              <w:spacing w:after="0"/>
              <w:rPr>
                <w:sz w:val="15"/>
                <w:szCs w:val="15"/>
                <w:color w:val="auto"/>
              </w:rPr>
            </w:pPr>
          </w:p>
        </w:tc>
        <w:tc>
          <w:tcPr>
            <w:tcW w:w="99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(Loss), (iv) the Consolidated Statements of Changes in Shareholders’ Equity, (v) the Consolidated Statements of</w:t>
            </w:r>
          </w:p>
        </w:tc>
      </w:tr>
      <w:tr>
        <w:trPr>
          <w:trHeight w:val="229"/>
        </w:trPr>
        <w:tc>
          <w:tcPr>
            <w:tcW w:w="1120" w:type="dxa"/>
            <w:vAlign w:val="bottom"/>
          </w:tcPr>
          <w:p>
            <w:pPr>
              <w:spacing w:after="0"/>
              <w:rPr>
                <w:sz w:val="19"/>
                <w:szCs w:val="19"/>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 Flows, and (vi) the Notes to Consolidated Financial Statements.</w:t>
            </w: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cover page of the registrant’s Quarterly Report on Form 10-Q for the quarterly period ended March 31, 2025, formatted in Inline</w:t>
            </w:r>
          </w:p>
        </w:tc>
      </w:tr>
      <w:tr>
        <w:trPr>
          <w:trHeight w:val="243"/>
        </w:trPr>
        <w:tc>
          <w:tcPr>
            <w:tcW w:w="1120" w:type="dxa"/>
            <w:vAlign w:val="bottom"/>
            <w:shd w:val="clear" w:color="auto" w:fill="CCEEFF"/>
          </w:tcPr>
          <w:p>
            <w:pPr>
              <w:spacing w:after="0"/>
              <w:rPr>
                <w:sz w:val="21"/>
                <w:szCs w:val="21"/>
                <w:color w:val="auto"/>
              </w:rPr>
            </w:pPr>
          </w:p>
        </w:tc>
        <w:tc>
          <w:tcPr>
            <w:tcW w:w="9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(contained in Exhibit 101).</w:t>
            </w:r>
          </w:p>
        </w:tc>
      </w:tr>
    </w:tbl>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May 9, 2025</w:t>
      </w:r>
    </w:p>
    <w:p>
      <w:pPr>
        <w:ind w:left="4540"/>
        <w:spacing w:after="0" w:line="197" w:lineRule="auto"/>
        <w:rPr>
          <w:sz w:val="20"/>
          <w:szCs w:val="20"/>
          <w:color w:val="auto"/>
        </w:rPr>
      </w:pPr>
      <w:r>
        <w:rPr>
          <w:rFonts w:ascii="Times New Roman" w:cs="Times New Roman" w:eastAsia="Times New Roman" w:hAnsi="Times New Roman"/>
          <w:sz w:val="20"/>
          <w:szCs w:val="20"/>
          <w:color w:val="auto"/>
        </w:rPr>
        <w:t>/s/ David P. Boyle</w:t>
      </w:r>
    </w:p>
    <w:p>
      <w:pPr>
        <w:ind w:left="4540"/>
        <w:spacing w:after="0" w:line="211" w:lineRule="auto"/>
        <w:rPr>
          <w:sz w:val="20"/>
          <w:szCs w:val="20"/>
          <w:color w:val="auto"/>
        </w:rPr>
      </w:pPr>
      <w:r>
        <w:rPr>
          <w:rFonts w:ascii="Times New Roman" w:cs="Times New Roman" w:eastAsia="Times New Roman" w:hAnsi="Times New Roman"/>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157842105v1</w:t>
      </w:r>
    </w:p>
    <w:p>
      <w:pPr>
        <w:sectPr>
          <w:pgSz w:w="11900" w:h="16838" w:orient="portrait"/>
          <w:cols w:equalWidth="0" w:num="1">
            <w:col w:w="11240"/>
          </w:cols>
          <w:pgMar w:left="320" w:top="99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May 9, 2025</w:t>
      </w:r>
    </w:p>
    <w:p>
      <w:pPr>
        <w:ind w:left="4540"/>
        <w:spacing w:after="0" w:line="197" w:lineRule="auto"/>
        <w:rPr>
          <w:sz w:val="20"/>
          <w:szCs w:val="20"/>
          <w:color w:val="auto"/>
        </w:rPr>
      </w:pPr>
      <w:r>
        <w:rPr>
          <w:rFonts w:ascii="Times New Roman" w:cs="Times New Roman" w:eastAsia="Times New Roman" w:hAnsi="Times New Roman"/>
          <w:sz w:val="20"/>
          <w:szCs w:val="20"/>
          <w:color w:val="auto"/>
        </w:rPr>
        <w:t>/s/ Roy E. Halyama</w:t>
      </w:r>
    </w:p>
    <w:p>
      <w:pPr>
        <w:ind w:left="4540"/>
        <w:spacing w:after="0" w:line="211" w:lineRule="auto"/>
        <w:rPr>
          <w:sz w:val="20"/>
          <w:szCs w:val="20"/>
          <w:color w:val="auto"/>
        </w:rPr>
      </w:pPr>
      <w:r>
        <w:rPr>
          <w:rFonts w:ascii="Times New Roman" w:cs="Times New Roman" w:eastAsia="Times New Roman" w:hAnsi="Times New Roman"/>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3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10934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157842164v1</w:t>
      </w:r>
    </w:p>
    <w:p>
      <w:pPr>
        <w:sectPr>
          <w:pgSz w:w="11900" w:h="16838" w:orient="portrait"/>
          <w:cols w:equalWidth="0" w:num="1">
            <w:col w:w="11240"/>
          </w:cols>
          <w:pgMar w:left="320" w:top="99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March 31, 2025,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9, 2025</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9, 2025</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157842178v1</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endash "/>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lowerRoman"/>
      <w:start w:val="3"/>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97" Type="http://schemas.openxmlformats.org/officeDocument/2006/relationships/hyperlink" Target="https://www.sec.gov/Archives/edgar/data/1964333/000196433324000316/bhrb-compiledarticlesofinc.htm" TargetMode="External"/><Relationship Id="rId98" Type="http://schemas.openxmlformats.org/officeDocument/2006/relationships/hyperlink" Target="https://www.sec.gov/Archives/edgar/data/1964333/000196433324000219/bhrb-ex341q2024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2025-05-09T08:11:58Z</dcterms:created>
  <dcterms:modified xsi:type="dcterms:W3CDTF">2025-05-09T08:11:58Z</dcterms:modified>
</cp:coreProperties>
</file>