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1080135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1106170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4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4" w:lineRule="exact"/>
        <w:rPr>
          <w:sz w:val="24"/>
          <w:szCs w:val="24"/>
          <w:color w:val="auto"/>
        </w:rPr>
      </w:pPr>
    </w:p>
    <w:p>
      <w:pPr>
        <w:ind w:left="1620" w:hanging="1270"/>
        <w:spacing w:after="0"/>
        <w:tabs>
          <w:tab w:leader="none" w:pos="162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 the fiscal year ended December 31, 2023</w:t>
      </w:r>
    </w:p>
    <w:p>
      <w:pPr>
        <w:spacing w:after="0" w:line="16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9" w:lineRule="exact"/>
        <w:rPr>
          <w:sz w:val="24"/>
          <w:szCs w:val="24"/>
          <w:color w:val="auto"/>
        </w:rPr>
      </w:pPr>
    </w:p>
    <w:p>
      <w:pPr>
        <w:ind w:left="1460" w:hanging="1110"/>
        <w:spacing w:after="0"/>
        <w:tabs>
          <w:tab w:leader="none" w:pos="14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rFonts w:ascii="Wingdings" w:cs="Wingdings" w:eastAsia="Wingdings" w:hAnsi="Wingdings"/>
          <w:sz w:val="16"/>
          <w:szCs w:val="16"/>
          <w:b w:val="1"/>
          <w:bCs w:val="1"/>
          <w:color w:val="auto"/>
        </w:rPr>
      </w:pPr>
    </w:p>
    <w:p>
      <w:pPr>
        <w:spacing w:after="0" w:line="248" w:lineRule="exact"/>
        <w:rPr>
          <w:rFonts w:ascii="Wingdings" w:cs="Wingdings" w:eastAsia="Wingdings" w:hAnsi="Wingdings"/>
          <w:sz w:val="16"/>
          <w:szCs w:val="16"/>
          <w:b w:val="1"/>
          <w:bCs w:val="1"/>
          <w:color w:val="auto"/>
        </w:rPr>
      </w:pPr>
    </w:p>
    <w:p>
      <w:pPr>
        <w:ind w:left="4620"/>
        <w:spacing w:after="0"/>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For the transition period from to</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6"/>
          <w:szCs w:val="16"/>
          <w:b w:val="1"/>
          <w:bCs w:val="1"/>
          <w:color w:val="auto"/>
        </w:rPr>
        <w:t>001-41633</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385" w:gutter="0" w:footer="0" w:header="0"/>
        </w:sectPr>
      </w:pPr>
    </w:p>
    <w:p>
      <w:pPr>
        <w:spacing w:after="0" w:line="36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92-0289417</w:t>
      </w:r>
    </w:p>
    <w:p>
      <w:pPr>
        <w:spacing w:after="0" w:line="15" w:lineRule="exact"/>
        <w:rPr>
          <w:sz w:val="24"/>
          <w:szCs w:val="24"/>
          <w:color w:val="auto"/>
        </w:rPr>
      </w:pPr>
    </w:p>
    <w:p>
      <w:pPr>
        <w:sectPr>
          <w:pgSz w:w="11900" w:h="16838" w:orient="portrait"/>
          <w:cols w:equalWidth="0" w:num="2">
            <w:col w:w="7940" w:space="720"/>
            <w:col w:w="2580"/>
          </w:cols>
          <w:pgMar w:left="320" w:top="229" w:right="339" w:bottom="385"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3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47" w:lineRule="exact"/>
        <w:rPr>
          <w:sz w:val="24"/>
          <w:szCs w:val="24"/>
          <w:color w:val="auto"/>
        </w:rPr>
      </w:pPr>
    </w:p>
    <w:p>
      <w:pPr>
        <w:sectPr>
          <w:pgSz w:w="11900" w:h="16838" w:orient="portrait"/>
          <w:cols w:equalWidth="0" w:num="2">
            <w:col w:w="7300" w:space="720"/>
            <w:col w:w="3220"/>
          </w:cols>
          <w:pgMar w:left="320" w:top="229" w:right="339" w:bottom="385" w:gutter="0" w:footer="0" w:header="0"/>
          <w:type w:val="continuous"/>
        </w:sectPr>
      </w:pPr>
    </w:p>
    <w:p>
      <w:pPr>
        <w:spacing w:after="0" w:line="4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100 S. Fairfax Street, Alexandria, Virginia</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22314</w:t>
      </w:r>
    </w:p>
    <w:p>
      <w:pPr>
        <w:spacing w:after="0" w:line="28" w:lineRule="exact"/>
        <w:rPr>
          <w:sz w:val="24"/>
          <w:szCs w:val="24"/>
          <w:color w:val="auto"/>
        </w:rPr>
      </w:pPr>
    </w:p>
    <w:p>
      <w:pPr>
        <w:sectPr>
          <w:pgSz w:w="11900" w:h="16838" w:orient="portrait"/>
          <w:cols w:equalWidth="0" w:num="2">
            <w:col w:w="8200" w:space="720"/>
            <w:col w:w="2320"/>
          </w:cols>
          <w:pgMar w:left="320" w:top="229" w:right="339" w:bottom="385" w:gutter="0" w:footer="0" w:header="0"/>
          <w:type w:val="continuous"/>
        </w:sectPr>
      </w:pPr>
    </w:p>
    <w:p>
      <w:pPr>
        <w:ind w:left="13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080" w:space="720"/>
            <w:col w:w="2440"/>
          </w:cols>
          <w:pgMar w:left="320" w:top="229" w:right="339" w:bottom="385" w:gutter="0" w:footer="0" w:header="0"/>
          <w:type w:val="continuous"/>
        </w:sectPr>
      </w:pP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703-666-3555</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ectPr>
          <w:pgSz w:w="11900" w:h="16838" w:orient="portrait"/>
          <w:cols w:equalWidth="0" w:num="1">
            <w:col w:w="11240"/>
          </w:cols>
          <w:pgMar w:left="320" w:top="229" w:right="339" w:bottom="385" w:gutter="0" w:footer="0" w:header="0"/>
          <w:type w:val="continuous"/>
        </w:sectPr>
      </w:pP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385"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of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common equity held by non-affiliates of the registrant at June 30, 2023, was approximately $408,054,000. Registrant has assumed that all of its executive officers and directors are affiliates. Such assumption shall not be deemed to be conclusive for any other purpose.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March 21, 2024, was 7,440,025.</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9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Document</w:t>
            </w:r>
          </w:p>
        </w:tc>
        <w:tc>
          <w:tcPr>
            <w:tcW w:w="5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Part of Form 10-K into which document is incorporated</w:t>
            </w:r>
          </w:p>
        </w:tc>
        <w:tc>
          <w:tcPr>
            <w:tcW w:w="340" w:type="dxa"/>
            <w:vAlign w:val="bottom"/>
          </w:tcPr>
          <w:p>
            <w:pPr>
              <w:spacing w:after="0"/>
              <w:rPr>
                <w:sz w:val="20"/>
                <w:szCs w:val="20"/>
                <w:color w:val="auto"/>
              </w:rPr>
            </w:pPr>
          </w:p>
        </w:tc>
      </w:tr>
      <w:tr>
        <w:trPr>
          <w:trHeight w:val="169"/>
        </w:trPr>
        <w:tc>
          <w:tcPr>
            <w:tcW w:w="360" w:type="dxa"/>
            <w:vAlign w:val="bottom"/>
          </w:tcPr>
          <w:p>
            <w:pPr>
              <w:spacing w:after="0"/>
              <w:rPr>
                <w:sz w:val="14"/>
                <w:szCs w:val="14"/>
                <w:color w:val="auto"/>
              </w:rPr>
            </w:pPr>
          </w:p>
        </w:tc>
        <w:tc>
          <w:tcPr>
            <w:tcW w:w="49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Portions of the Registrant’s Proxy Statement for the Annual</w:t>
            </w:r>
          </w:p>
        </w:tc>
        <w:tc>
          <w:tcPr>
            <w:tcW w:w="5560" w:type="dxa"/>
            <w:vAlign w:val="bottom"/>
          </w:tcPr>
          <w:p>
            <w:pPr>
              <w:ind w:left="300"/>
              <w:spacing w:after="0" w:line="169" w:lineRule="exact"/>
              <w:rPr>
                <w:sz w:val="20"/>
                <w:szCs w:val="20"/>
                <w:color w:val="auto"/>
              </w:rPr>
            </w:pPr>
            <w:r>
              <w:rPr>
                <w:rFonts w:ascii="Times New Roman" w:cs="Times New Roman" w:eastAsia="Times New Roman" w:hAnsi="Times New Roman"/>
                <w:sz w:val="18"/>
                <w:szCs w:val="18"/>
                <w:b w:val="1"/>
                <w:bCs w:val="1"/>
                <w:color w:val="auto"/>
              </w:rPr>
              <w:t>Part III - Items 10, 11, 12, 13 and 14</w:t>
            </w:r>
          </w:p>
        </w:tc>
        <w:tc>
          <w:tcPr>
            <w:tcW w:w="340" w:type="dxa"/>
            <w:vAlign w:val="bottom"/>
          </w:tcPr>
          <w:p>
            <w:pPr>
              <w:spacing w:after="0"/>
              <w:rPr>
                <w:sz w:val="14"/>
                <w:szCs w:val="14"/>
                <w:color w:val="auto"/>
              </w:rPr>
            </w:pPr>
          </w:p>
        </w:tc>
      </w:tr>
      <w:tr>
        <w:trPr>
          <w:trHeight w:val="238"/>
        </w:trPr>
        <w:tc>
          <w:tcPr>
            <w:tcW w:w="36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Meeting of Shareholders expected to be held on July 15, 2024</w:t>
            </w:r>
          </w:p>
        </w:tc>
        <w:tc>
          <w:tcPr>
            <w:tcW w:w="55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761"/>
        </w:trPr>
        <w:tc>
          <w:tcPr>
            <w:tcW w:w="3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6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60" w:type="dxa"/>
            <w:vAlign w:val="bottom"/>
            <w:gridSpan w:val="23"/>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8"/>
              </w:rPr>
              <w:t>Item 1. Business</w:t>
            </w:r>
          </w:p>
        </w:tc>
        <w:tc>
          <w:tcPr>
            <w:tcW w:w="8940" w:type="dxa"/>
            <w:vAlign w:val="bottom"/>
            <w:gridSpan w:val="20"/>
          </w:tcPr>
          <w:p>
            <w:pPr>
              <w:spacing w:after="0"/>
              <w:rPr>
                <w:sz w:val="16"/>
                <w:szCs w:val="16"/>
                <w:color w:val="auto"/>
              </w:rPr>
            </w:pPr>
          </w:p>
        </w:tc>
        <w:tc>
          <w:tcPr>
            <w:tcW w:w="86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540" w:type="dxa"/>
            <w:vAlign w:val="bottom"/>
            <w:gridSpan w:val="18"/>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7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7420" w:type="dxa"/>
            <w:vAlign w:val="bottom"/>
            <w:gridSpan w:val="11"/>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8460" w:type="dxa"/>
            <w:vAlign w:val="bottom"/>
            <w:gridSpan w:val="17"/>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240" w:type="dxa"/>
            <w:vAlign w:val="bottom"/>
            <w:gridSpan w:val="16"/>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864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50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70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3100" w:type="dxa"/>
            <w:vAlign w:val="bottom"/>
            <w:gridSpan w:val="3"/>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5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5140" w:type="dxa"/>
            <w:vAlign w:val="bottom"/>
            <w:gridSpan w:val="6"/>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3100" w:type="dxa"/>
            <w:vAlign w:val="bottom"/>
            <w:gridSpan w:val="3"/>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Item 9A. Controls and Procedures</w:t>
            </w:r>
          </w:p>
        </w:tc>
        <w:tc>
          <w:tcPr>
            <w:tcW w:w="4600" w:type="dxa"/>
            <w:vAlign w:val="bottom"/>
            <w:gridSpan w:val="9"/>
          </w:tcPr>
          <w:p>
            <w:pPr>
              <w:spacing w:after="0"/>
              <w:rPr>
                <w:sz w:val="18"/>
                <w:szCs w:val="18"/>
                <w:color w:val="auto"/>
              </w:rPr>
            </w:pPr>
          </w:p>
        </w:tc>
        <w:tc>
          <w:tcPr>
            <w:tcW w:w="3100" w:type="dxa"/>
            <w:vAlign w:val="bottom"/>
            <w:gridSpan w:val="3"/>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440" w:type="dxa"/>
            <w:vAlign w:val="bottom"/>
            <w:gridSpan w:val="3"/>
          </w:tcPr>
          <w:p>
            <w:pPr>
              <w:spacing w:after="0"/>
              <w:rPr>
                <w:sz w:val="18"/>
                <w:szCs w:val="18"/>
                <w:color w:val="auto"/>
              </w:rPr>
            </w:pPr>
          </w:p>
        </w:tc>
        <w:tc>
          <w:tcPr>
            <w:tcW w:w="7700" w:type="dxa"/>
            <w:vAlign w:val="bottom"/>
            <w:gridSpan w:val="1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5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4560" w:type="dxa"/>
            <w:vAlign w:val="bottom"/>
            <w:gridSpan w:val="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1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86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360" w:type="dxa"/>
            <w:vAlign w:val="bottom"/>
            <w:gridSpan w:val="7"/>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7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2200" w:type="dxa"/>
            <w:vAlign w:val="bottom"/>
            <w:gridSpan w:val="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6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40" w:type="dxa"/>
            <w:vAlign w:val="bottom"/>
            <w:gridSpan w:val="2"/>
          </w:tcPr>
          <w:p>
            <w:pPr>
              <w:spacing w:after="0"/>
              <w:rPr>
                <w:sz w:val="18"/>
                <w:szCs w:val="18"/>
                <w:color w:val="auto"/>
              </w:rPr>
            </w:pPr>
          </w:p>
        </w:tc>
        <w:tc>
          <w:tcPr>
            <w:tcW w:w="2200" w:type="dxa"/>
            <w:vAlign w:val="bottom"/>
            <w:gridSpan w:val="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14. Principal Accounting Fees and Services</w:t>
            </w:r>
          </w:p>
        </w:tc>
        <w:tc>
          <w:tcPr>
            <w:tcW w:w="2580" w:type="dxa"/>
            <w:vAlign w:val="bottom"/>
            <w:gridSpan w:val="6"/>
          </w:tcPr>
          <w:p>
            <w:pPr>
              <w:spacing w:after="0"/>
              <w:rPr>
                <w:sz w:val="18"/>
                <w:szCs w:val="18"/>
                <w:color w:val="auto"/>
              </w:rPr>
            </w:pPr>
          </w:p>
        </w:tc>
        <w:tc>
          <w:tcPr>
            <w:tcW w:w="4040" w:type="dxa"/>
            <w:vAlign w:val="bottom"/>
            <w:gridSpan w:val="4"/>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37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w w:val="99"/>
              </w:rPr>
              <w:t>Item 15. Exhibit and Financial Statement Schedules</w:t>
            </w:r>
          </w:p>
        </w:tc>
        <w:tc>
          <w:tcPr>
            <w:tcW w:w="6400" w:type="dxa"/>
            <w:vAlign w:val="bottom"/>
            <w:gridSpan w:val="9"/>
          </w:tcPr>
          <w:p>
            <w:pPr>
              <w:spacing w:after="0"/>
              <w:rPr>
                <w:sz w:val="16"/>
                <w:szCs w:val="16"/>
                <w:color w:val="auto"/>
              </w:rPr>
            </w:pPr>
          </w:p>
        </w:tc>
        <w:tc>
          <w:tcPr>
            <w:tcW w:w="86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540" w:type="dxa"/>
            <w:vAlign w:val="bottom"/>
            <w:gridSpan w:val="5"/>
          </w:tcPr>
          <w:p>
            <w:pPr>
              <w:spacing w:after="0"/>
              <w:rPr>
                <w:sz w:val="18"/>
                <w:szCs w:val="18"/>
                <w:color w:val="auto"/>
              </w:rPr>
            </w:pPr>
          </w:p>
        </w:tc>
        <w:tc>
          <w:tcPr>
            <w:tcW w:w="6400" w:type="dxa"/>
            <w:vAlign w:val="bottom"/>
            <w:gridSpan w:val="9"/>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940" w:type="dxa"/>
            <w:vAlign w:val="bottom"/>
            <w:gridSpan w:val="14"/>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throughout this Form 10-K, the “Company,” “we,” “our,” and “us” refer to Burke &amp; Herbert Financial Services Corp., and the “Bank” refers to Burke &amp; Herbert Bank &amp; Trust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Form 10-K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10-K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Securities and Exchange Commission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Risks, uncertainties, and other factors which may cause the actual results, performance, or achievements of the Company, as applicable, to be materially different from any future results, performance, or achievements expressed or implied by such forward-looking information and statements include, but are not limited to, the risks described in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xml:space="preserve"> in this Form 10-K.</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Readers are cautioned not to place undue reliance on any forward-looking statements contained in this Form 10-K,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under the JOBS Act and as defined in Section 2(a) of the Securities Act of 1934, as amended (the “Securities Act”). For as long as we are an emerging growth company, we may choose to take advantage of exemptions from various reporting requirements applicable to other public companies but not to emerging growth companies.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emerging growth company:</w:t>
      </w:r>
    </w:p>
    <w:p>
      <w:pPr>
        <w:spacing w:after="0" w:line="171"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the requirement to obtain an attestation and report from our auditors on management’s assessment of our internal control over financial reporting under the Sarbanes-Oxley Act of 2002;</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permitted to provide less extensive disclosure about our executive compensation arrangements;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permitted to include less extensive narrative disclosures than required of other reporting companies, including with respect to executive compensation.</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this Form 10-K (including the portions of our proxy statement for our 2024 annual meeting, being incorporated herein by reference), we have elected to take advantage of the reduced disclosure requirements relating to executive compensation, and the exemption for auditor attestation over our internal controls, and in the future, we may take advantage of any or all of these exemptions for so long as we remain an emerging growth company. We could remain an emerging growth company until the last day of the fiscal year following the fifth anniversary of the first sale of our common equity securities in an offering registered under the Securities Act or until the earliest of (i) the end of the first fiscal year during which we have total annual gross revenues of $1.235 billion or more, (ii) the date on which we have, during the previous three-year period, issued more than $1.0 billion in non-convertible debt, or (iii) the date on which we are deemed to be a “large accelerated filer” as defined in Exchange Act Rule 12b-2.</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relief described above, the JOBS Act exempts emerging growth companies from compliance with new or revised financial accounting standards until private companies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xml:space="preserve"> of this Form 10-K for more information on emerging growth companies.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Form 10-K contains data concerning the Company’s industry and the markets in which it operates that is based on publicly available third-party sources as well as industry and forecast data prepared by Company management on the basis of its knowledge of the banking industries, gained through its experience and participation in the industry. Company management believes that this data is accurate and that its estimates and assumptions are reasonable. The Company has not independently verified any of the data from third-party sources referred to in this Form 10-K or analyzed or verified the underlying studies or surveys relied upon or referred to by such sources, or ascertained the underlying economic assumptions relied upon or referred to by such sources. None of these third-party sources has provided any form of consultation, advice or counsel regarding any aspect of, or is in any way whatsoever associated with this Form 10-K. Such data involves risks and uncertainties and is subject to change based on various factors, including those discussed under the headings “Disclosure Regarding Forward-Looking Statements” and “Risk Factors”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Burke &amp; Herbert Bank</w:t>
      </w:r>
    </w:p>
    <w:p>
      <w:pPr>
        <w:spacing w:after="0" w:line="27" w:lineRule="exact"/>
        <w:rPr>
          <w:sz w:val="20"/>
          <w:szCs w:val="20"/>
          <w:color w:val="auto"/>
        </w:rPr>
      </w:pPr>
    </w:p>
    <w:p>
      <w:pPr>
        <w:jc w:val="both"/>
        <w:ind w:firstLine="8"/>
        <w:spacing w:after="0" w:line="252" w:lineRule="auto"/>
        <w:tabs>
          <w:tab w:leader="none" w:pos="1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In September 2023, Burke &amp; Herbert elected to become a financial holding company. As a financial holding company, the Company is subject to regulation and supervision by the Federal Reserve System (the “Federal Reserve”). The Company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authorized to issue twenty million (20,000,000) shares of common stock, par value $0.50 per share (“Common Stock”), of which there were 7,440,025 outstanding as of the date of this Form 10-K. The Company’s authorized capital also consists of up to two million (2,000,000) shares of serial preferred stock, par value $1.00 (“Serial Preferred Stock”) of which there were no shares issued or outstanding as of the date of this Form 10-K. These authorized capital share amounts reflect a share-split authorized and approved by the Company’s board of directors (the “Board”) and effective November 15, 2022, that provided for a forty-for-one split of the Company’s Common Stock, with each shareholder receiving forty (40) post-split shares for each one (1) share held prior to the split. All share amounts presented throughout this Form 10-K are presented on a post-split basis.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is currently quoted on the Nasdaq Stock Market LLC (“Nasdaq”) under the symbol “BHRB.”</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primarily serve small to medium-sized businesses, their owners and employees, professional corporations, non-profits, and individuals with a broad range of banking products and financial services. Some of the products and services that we offer include checking, savings and money market accounts, certificates of deposit, treasury and cash management services, commercial and industrial loans, commercial real estate loans, residential mortgage, acquisition, construction &amp; development loans, online banking, mobile banking, and wealth &amp; trust services. As of December 31, 2023, we had total consolidated assets of $3.6 billion, gross loans of $2.1 billion, total deposits of $3.0 billion, and total shareholders’ equity of $315 million.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community-oriented financial institution. We seek to be the provider of choice for financial solutions to customers who value exceptional personalized service, local decision making, and modern banking technology. Our business involves attracting deposits from local businesses and individual customers and using these deposits to originate commercial, mortgage, and consumer loans in our market area. We also invest in securities consisting primarily of U.S Government Treasuries, obligations of U.S. government-sponsored entities, municipal obligations, mortgage-backed securities issued by Fannie Mae, Freddie Mac, and Ginnie Mae, and the subordinated debt of other financial institutions. We are the owner and beneficiary of Company-owned life insurance policies on certain current and former Bank employees. These policies generate income and can be liquidated, if necessary, with associated tax costs.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focused on growing business relationships and building core deposits, profitable loans, and non-interest income. We believe that we have a solid franchise that meets the financial needs of our clients and communities by providing an array of personalized products and services delivered by seasoned professionals with decisions made at the local level. We strive to be the leading community bank in our markets.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 is well positioned to build on its core performance and continue to grow profitably. Although we have successfully attracted new associates, providing depth and talent in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positions, additional employees and infrastructure are expected to be needed to manage the increasing customer relationships that will come with sustained growth.</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Federal Reserve, the FDIC, and the Virginia State Corporation Commission, through the Virginia BFI, regulate and monitor operations of the Company and the Bank. The Federal Reserve, the FDIC, and the Virginia BFI conduct periodic onsite and offsite examinations. We must comply with a wide variety of reporting requirements and banking regulations. The laws and regulations governing us generally have been promulgated to protect depositors and the federal deposit insurance funds and not to protect shareholders. Additionally, we must bear the cost of compliance with the reporting and regulations; these costs can be significant and may have an effect on our financial performance.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Corporate Developments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24, 2023, the Company and Summit Financial Group, Inc. (“Summit”), entered into an Agreement and Plan of Reorganization and Plan of Merger (the “merger agreement”) pursuant to which Summit will merge with and into Burke &amp; Herbert Financial Services Corp., with Burke &amp; Herbert Financial Services Corp. as the continuing corporation (the “merger”). Immediately following the merger, Summit Community Bank, Inc., a West Virginia banking corporation (“SCB”) and a wholly-owned direct subsidiary of Summit, will merge with and into the Bank, a Virginia banking corporation and a wholly-owned direct subsidiary of Burke &amp; Herbert, with the Bank as the continuing bank (the “bank merger,” and together with the merger, the “mergers”).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6, 2023, the Company and Summit announced that at special meetings of their respective shareholders held on December 6, 2023, Burke</w:t>
      </w:r>
    </w:p>
    <w:p>
      <w:pPr>
        <w:spacing w:after="0" w:line="27" w:lineRule="exact"/>
        <w:rPr>
          <w:sz w:val="20"/>
          <w:szCs w:val="20"/>
          <w:color w:val="auto"/>
        </w:rPr>
      </w:pPr>
    </w:p>
    <w:p>
      <w:pPr>
        <w:jc w:val="both"/>
        <w:ind w:firstLine="8"/>
        <w:spacing w:after="0" w:line="255" w:lineRule="auto"/>
        <w:tabs>
          <w:tab w:leader="none" w:pos="1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Herbert and Summit shareholders each approved the merger of Summit with and into Burke &amp; Herbert, pursuant to the merger agreement. The merger is expected to close in the second quarter of 2024, subject to regulatory approvals and certain other customary closing conditions. As of December 31, 2023, the Company had recognized $3.0 million in acquisition-related expenses with this pending transaction.</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Area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key factor in our ability to achieve our strategic goals and create shareholder value is the attractiveness of our market area. The market area in which we operate has seen considerable population and economic growth over the past several decades. The most recent economic data suggests that the relative economic strength of our market area will continue, enabling us to further grow our customer base and provide opportunities to grow our market share.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primary market area includes northern Virginia, and we have over 20 branches throughout the Northern Virginia region and commercial loan offices in Fredericksburg, Loudoun County, Richmond, Virginia, and Bethesda, Maryland (“greater Washington, D.C. area”).</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greater Washington, D.C. area is one of the largest and most well-known Metropolitan Statistical Areas (“MSA”) as it is the sixth largest in the country, according to the U.S. Census Bureau, with over 6.4 million residents. The gross domestic product (“GDP”) of the MSA was $661 billion in 2023, and if the MSA were a U.S. State it would have ranked 13th in GDP for such period. Nineteen of the largest Fortune 500 companies are headquartered within the region as of 2023. Many employers within this MSA thrive and grow due to a large, well-educated labor force and over 20 colleges and universities. According to the U.S. Census Bureau, as of 2023, nearly 55% of the population 25 years and over has a bachelor’s degree or higher (compared to the U.S. average of 38%). Local academic institutions proactively invest in programs and facilities, particularly in technical fields, which benefit the area’s ability to produce well-trained workers to satisfy the demands of area employers.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banking statistics in our market, as of June 2023, the region had total deposits of $298 billion, ranking it the 11th largest MSA in the United States in total deposits, according to the FDIC. FDIC data also shows that the top five banks inside the Washington MSA are mostly nationally chartered and control 68.3% of the area’s deposit base. As of June 2023, our deposits on account were $3.01 billion, or 1.0% market share, ranking the Company 15th in the MSA. Over half of the banks that ranked ahead of the Company are headquartered outside of our market area. Our market area has experienced a significant degree of banking consolidation over the last several decades. We believe that as financial institutions are merged with or acquired by remote, larger institutions,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can become further removed from the point of decision making. The consolidation trend provides an opportunity for the Company to execute a focused strategy of offering personalized services to attract potential customers who are underserved or dissatisfied.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the Washington D.C. MSA will build upon its rank as a stable and growing economy by fostering education, technological innovation, job creation, capital formation, and economic diversification. We believe the size, growth, economic diversity, and banking consolidation within the Washington MSA, when combined with our business strategy, will provide the Company with excellent opportunities for long-term, sustainable growth.</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Strengths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continually review our product offerings, and based on these reviews, may selectively add additional products to provide further diversification of our revenue sources and to capture our customers’ full banking relationships. We believe that the following business strengths have been instrumental to the success of our core operations and will enable us to continue profitable growth and to maximize value to our shareholders, while remaining fundamentally sound.</w:t>
      </w:r>
    </w:p>
    <w:p>
      <w:pPr>
        <w:spacing w:after="0" w:line="122" w:lineRule="exact"/>
        <w:rPr>
          <w:sz w:val="20"/>
          <w:szCs w:val="20"/>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Community Banking Philosophy. </w:t>
      </w:r>
      <w:r>
        <w:rPr>
          <w:rFonts w:ascii="Times New Roman" w:cs="Times New Roman" w:eastAsia="Times New Roman" w:hAnsi="Times New Roman"/>
          <w:sz w:val="18"/>
          <w:szCs w:val="18"/>
          <w:color w:val="auto"/>
        </w:rPr>
        <w:t>We provide our clients with local decision making and individualized service, coupled with products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comparable to those offered by our larger institutional competitors. As our business lenders, officers, and Bank directors are based in or reside in the communities we serve, we are able to maintain a high level of involvement in local organizations and establish a strong understanding of the banking needs of the respective communities. We believe that our customer-centric business philosophy and service-oriented sales approach enables us to build long-term relationships with desirable customers, which enhances the quality and stability of our funding and lending operations. Our mission and philosophy have positioned us well in the communities across our market area and have enabled us to attract and maintain a highly talented and experienced management team.</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Disciplined Credit Culture. </w:t>
      </w:r>
      <w:r>
        <w:rPr>
          <w:rFonts w:ascii="Times New Roman" w:cs="Times New Roman" w:eastAsia="Times New Roman" w:hAnsi="Times New Roman"/>
          <w:sz w:val="18"/>
          <w:szCs w:val="18"/>
          <w:color w:val="auto"/>
        </w:rPr>
        <w:t>In originating loans, our relationship managers focus on experienced business owners with demonstrated capacity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 their financial obligations. Loan officers have relatively low individual discretionary loan authority levels, which generally results in the loan committee vetting to uphold appropriate structure and terms prior to approval. Loan committee meetings are held regularly and on an as-needed basis to promote prompt decisions. We utilize an independent, nationally recognized loan review firm to validate our risk ratings and assess our underwriting and loan administration. We believe that our rigorous underwriting and diligent monitoring of the loan portfolio is consistent with our desired risk profile.</w:t>
      </w:r>
    </w:p>
    <w:p>
      <w:pPr>
        <w:spacing w:after="0" w:line="128" w:lineRule="exact"/>
        <w:rPr>
          <w:rFonts w:ascii="Times New Roman" w:cs="Times New Roman" w:eastAsia="Times New Roman" w:hAnsi="Times New Roman"/>
          <w:sz w:val="18"/>
          <w:szCs w:val="18"/>
          <w:color w:val="auto"/>
        </w:rPr>
      </w:pPr>
    </w:p>
    <w:p>
      <w:pPr>
        <w:jc w:val="both"/>
        <w:ind w:left="660" w:right="20" w:hanging="328"/>
        <w:spacing w:after="0" w:line="26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Conservative Balance Sheet and Capital Position. </w:t>
      </w:r>
      <w:r>
        <w:rPr>
          <w:rFonts w:ascii="Times New Roman" w:cs="Times New Roman" w:eastAsia="Times New Roman" w:hAnsi="Times New Roman"/>
          <w:sz w:val="18"/>
          <w:szCs w:val="18"/>
          <w:color w:val="auto"/>
        </w:rPr>
        <w:t>The Bank exceeds the regulatory guidelines to be classified as “well capitalized,”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provides the foundation for prudent growth. The Company has ample liquidity to meet its obligations and fund anticipated loan growth. The Company has retained a nationally recognized asset/liability management consultancy, and we believe our balance sheet is well positioned for organic growth and potential acquisitions.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banking business is highly competitive, and we face competition in our market area from many other local, regional, and national financial institutions. Competition among financial institutions is based on interest rates offered on deposit accounts, interest rates charged on loans, other credit and service charges relating to loans, the quality and scope of the services rendered, the convenience of banking services, and, in the case of loans to commercial borrowers, relative lending limits. We compete with commercial banks, credit unions, savings institutions, mortgage banking firms, finance companies, including “fintech” companies, securities brokerage firms, insurance companies, money market funds and other mutual funds, as well as regional and national financial institutions that operate offices in our market area and elsewhere.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increasingly competitive environment is the result of changes in regulation, changes in technology and product delivery systems, additional financial service providers, and the accelerating pace of consolidation among financial services providers. Banks, securities firms, and insurance companies can merge under the umbrella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holding company, which can offer most types of financial services, including banking, securities underwriting, and insurance. Also, technology has lowered barriers to entry and made it possible for non-banks to offer products and services traditionally provided by banks, such as automatic transfer and automatic payment systems.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our non-banking competitors, such as fintech companies, have fewer regulatory constraints and may have lower cost structures. In addition, some of our competitors have assets, capital, and lending limits greater than that of the Bank, have greater access to capital markets, and can offer a broader range of products and services than the Bank. These institutions may have the ability to finance wide-ranging advertising campaigns and may also be able to offer lower rates on loans and higher rates on deposits than we can offer.</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compete with these institutions by focusing on our position as an independent community bank and rely upon relationships established by our officers, directors, and employees with our customers, promotional activities, and specialized services tailored to meet the needs of the customers we serve. We strive to provide innovative products to our customers that are value-driven. We actively cultivate relationships with our customers that extend beyond a single loan to a full suite of products that serve the needs of our commercial customers. Our goal is to develop long-standing connections with our customers and the communities that we serve. Our management believes that we can compete effectively as a result of local market knowledge, local decision making, awareness of customer needs, and by providing exceptional customer experiences.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Services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emphasize providing traditional banking and wealth management services. Our dedicated relationship managers serve as direct points of contact for owners, management, and employees of small and medium-sized businesses. We provide subject matter expertise in a variety of industries: manufacturing, government contractors, distribution, health services, non-profits and associations, professional services, property management companies, and title companies. We focus on customers living and working in and near our service area. We offer retail banking services to accommodate the needs of both corporate customers as well as individuals residing and working in the communities we serve. We also offer digital banking, mobile banking, and a remote deposit service, which allows customers to facilitate and expedite deposit transactions through the use of electronic devices. A sophisticated suite of treasury management products is a key feature of our customer focused, relationship driven marketing.</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Lending Services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a range of commercial lending services, including commercial real estate loans, acquisition, construction &amp; development, commercial and industrial loans, and residential real estate loans to customers generally located or conducting business in our market area. Loan terms, including interest rates, loan-to-value ratios, and maturities, are tailored to meet the needs of the borrower. A special effort is made to keep loan products as flexible as possible within the guidelines of prudent banking practices in terms of interest rate and credit risk.</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10 largest borrowing relationships accounted for approximately 22.4% of our total loans at December 31, 2023. With this concentration of credit risk among a limited number of borrowers, we may face a greater risk of material credit losses if any one of these borrowers fail to perform in accordance with their loans, compared to a bank with a more diversified portfolio. While we believe our underwriting standards are designed to manage normal lending risks, it is difficult to determine, at the time of underwriting, if any of these loans will become non-performing or delinquent, or whether we will hold non-performing or delinquent loans that may adversely affect our future performance. Refer to the Lending Activities section within </w:t>
      </w:r>
      <w:r>
        <w:rPr>
          <w:rFonts w:ascii="Times New Roman" w:cs="Times New Roman" w:eastAsia="Times New Roman" w:hAnsi="Times New Roman"/>
          <w:sz w:val="18"/>
          <w:szCs w:val="18"/>
          <w:u w:val="single" w:color="auto"/>
          <w:color w:val="0000FF"/>
        </w:rPr>
        <w:t>Item 7 —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Discussion and Analysis of Financial Condition and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information regarding the composition of our loan portfolio as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2023, and December 31, 2022.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Lending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Commercial lending services includes commercial real estate loans, acquisition, construction &amp; development, and commercial &amp; industrial loans. Our commercial loan clients represent a diverse cross-section of small to mid-size local businesses within our market footprint, whose owners and employees are often established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Such banking relationships are a natural business for us with our long-standing community roots and extensive experience in serving and lending to this market segment.</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Commercial loans are evaluated for the adequacy of repayment sources at the time of approval and are regularly reviewed for any possible deterioration in the ability of the borrower to repay the loan. Collateral generally is required to provide us with an additional source of repayment in the event of default by a commercial borrower. The structure of the collateral package, including the type and amount of the collateral, varies from loan to loan depending on the financial strength of the borrower, the amount and terms of the loan, and the collateral available to be pledged by the borrower, but generally may include real estate, accounts receivable, inventory, equipment, or other assets. Loans also may be supported by personal guarantees from the principals of the commercial loan borrowers. The financial condition and cash flow of commercial borrowers are closely monitored through the submission of corporate financial statements, personal financial statements, and income tax returns. The frequency of submissions of required information depends upon the size and complexity of the credit and the collateral that secures the loan. Credit risk for commercial loans arises from borrowers lacking the ability or willingness to repay the loan and, in the case of secured loans, by a shortfall in the collateral value in relation to the outstanding loan balance in the event of a default and subsequent liquidation of collateral. A risk rating system is applied to the commercial loan portfolio to measure credit risk and differentiate the level of risk posed by individual credits. See </w:t>
      </w:r>
      <w:r>
        <w:rPr>
          <w:rFonts w:ascii="Times New Roman" w:cs="Times New Roman" w:eastAsia="Times New Roman" w:hAnsi="Times New Roman"/>
          <w:sz w:val="18"/>
          <w:szCs w:val="18"/>
          <w:u w:val="single" w:color="auto"/>
          <w:color w:val="0000FF"/>
        </w:rPr>
        <w:t>Item 7 — Management’s Discussion and Analysis of Financial Condition and Results of Operations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Overview — Current Economic Environment in the Financial Services Industry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information.</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Commercial Real Estate Loans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commercial real estate loans consist of both loans secured by owner-occupied properties and non-owner-occupied properties (“investor real estate loans”). The commercial real estate categories contain mortgage loans to developers and owners of commercial real estate. Commercial real estate loans are governed by the same lending policies and subject to credit risk as previously described for commercial loans. Commercial real estate loans secured by owner-occupied properties are based upon the borrower’s financial condition and the ability of the borrower and the business to provide for repayment. Investor real estate loans secured by non-owner-occupied properties involve investment properties for multi-family, warehouse, retail, and office space with a history of occupancy and cash flow. We seek to reduce the risks associated with commercial mortgage lending by generally lending in our market area, focusing on debt service coverage ratio, using conservative loan-to-value ratios, and obtaining periodic financial statements and tax returns from borrowers to perform loan reviews. In addition, when underwriting specific loans, the proposed debt should be supported by cash flows that are stable, predictable, diverse, and sufficient for adequate repayment at acceptable margins. Furthermore, we stress test each aspect of the cash flow, including stressing the interest rate levels.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also our general policy to obtain personal guarantees from the principals of the borrowers and to underwrite the business entity from a cash flow perspective. Interest rate risks are managed by using either floating interest rates or by fixing rates that reset at the end of the first five years and then convert to a margin-adjusted applicable index. While loan amortizations may be approved for up to 360 months, each loan generally has a call provision (maturity date) of five to ten years.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Acquisition, construction &amp; development loans are loans made for the purpose of financing construction or development projects. This portfolio includes commercial and residential land development loans, one-to-four family housing construction, both pre-sold and speculative in nature, multifamily housing construction, non-residential building construction, and undeveloped land. This commercial real estate lending business extends to providing commercial construction financing of owner-occupied properties as well as non-owner-occupied properties. Construction lending on these properties is based upon the provision for repayment based on cash flow, collateral values, and loan-to-value ratios. Typically, these loans have guarantees, an amount of owner equity in the project, and an assessment of economic feasibility and viability related to each project. Terms of each loan are based upon current pricing and the extent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Commercial &amp; Industrial Loans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originate commercial &amp; industrial (“C&amp;I”) loans. C&amp;I term loans are made to provide funds for equipment and general corporate needs. This loan category is designed to support borrowers who have a proven ability to service debt. We generally require a first lien position on all collateral and require guarantees from owners having at least a 10% interest in the involved business. Interest rates on C&amp;I term loans are generally floating or fixed for a term not to exceed seven years. Management monitors industry and collateral concentrations to avoid loan exposures to a large group of similar industries or similar collateral. C&amp;I loans are evaluated for historical and projected cash flow attributes, balance sheet strength, and primary and alternate resources of personal guarantors. C&amp;I term loan documents require borrowers to forward regular financial information on both the business and personal guarantors. Loan covenants require at least annual submission of complete financial information, and in certain cases, this information is required monthly, quarterly, or semi-annually, depending on the degree to which we desire information resources for monitoring a borrower’s financial condition and compliance with loan covenants. Examples of properly margined collateral for loans, as required by our policy, would be an 80% advance on the lesser of appraised value or recent sales price on commercial property, an 80% or less advance on eligible receivables, a 50% or less advance on eligible inventory, and an 80% advance on appraised residential property. Collateral borrowing certificates may be required to monitor certain collateral categories on a monthly or quarterly basis. Loans may require personal guarantees. Key person life insurance may be required, as appropriate and as necessary, to mitigate the risk of loss of a primary owner or manager.</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Commercial lines of credit are granted to finance a business borrower’s short-term credit needs and/or to finance a percentage of eligible receivables and inventory. In addition to the risks inherent in term loan facilities, line of credit borrowers typically require additional monitoring to protect the lender against increasing loan volumes and diminishing collateral values. Commercial lines of credit are generally revolving in nature and require close scrutiny. We generally require at least an annual out of debt period (for seasonal borrowers) or regular financial information (monthly or quarterly financial statements, borrowing base certificates, etc.) for borrowers with more growth and greater permanent working capital financing needs. Advances against collateral value are limited. Lines of credit and term loans to the same borrowers generally are cross-defaulted and cross-collateralized. Interest rate charges on this group of loans generally float at a factor at or above the prime lending rate.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Residential Real Estate Loans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residential real estate category contains loans principally to consumers secured by residential real estate. Loans for residential real estate may carry either a fixed rate of interest or an adjustable rate over the life of loan. Adjustable rate mortgage (“ARM”) loans have a 30-year amortization period with a fixed rate of interest for the first five, seven, or ten years, re-pricing at stated interval thereafter at a predetermined spread to an index. Our residential real estate lending policy requires each loan to have viable repayment sources. Residential real estate loans are evaluated for the adequacy of these repayment sources at the time of approval, based upon measures including credit scores, debt-to-income ratios, and collateral values. Credit risk for residential real estate loans arises from borrowers lacking the ability or willingness to repay the loan or by a shortfall in the value of the residential real estate in relation to the outstanding loan balance in the event of a default and subsequent liquidation of the real estate collateral. The residential real estate portfolio includes both conforming and non-conforming mortgage loans.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Conforming mortgage loans represent loans originated in accordance with underwriting standards set forth by government-sponsored entities (“GSEs”), including the Federal National Mortgage Association (“Fannie Mae”), the Federal Home Loan Mortgage Corporation (“Freddie Mac”), and the Government National Mortgage Association (“Ginnie Mae”), which serve as the primary purchasers of loans sold in the secondary mortgage market by mortgage lenders. These loans are generally collateralized by one-to-four-family residential real estate, have loan-to-collateral value ratios of 80% or less or have mortgage insurance to insure down to 80%, and are made to borrowers in good credit standing. In recent years, we have sold the majority of new mortgage loan production in the secondary market using large mortgage loan companies that package these loans to be sold to the GSEs. For any loans retained by us, title insurance insuring the priority of our mortgage lien, as well as fire and extended coverage casualty insurance protecting the properties securing the loans, is required. Borrowers may be required to advance funds with each monthly payment of principal and interest to a loan escrow account from which we make disbursements for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as real estate taxes and mortgage insurance premiums. Appraisers approved by us appraise the properties securing substantially all of our residential mortgage loans.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Non-conforming mortgage loans represent loans that generally are not saleable in the secondary market to the GSEs for inclusion in conventional mortgage-backed securities due to the credit characteristics of the borrower, the underlying documentation, the loan-to-value ratio, or the size of the loan, among other factors. We originate non-conforming loans for our own portfolio and for sale to third-party investors, usually large mortgage companies, under commitments by the mortgage company to purchase the loans subject to compliance with pre-established investor criteria. Non-conforming loans generated for sale include loans that may not be underwritten using customary underwriting standards. These loans typically are held after funding for thirty days or less, and are included in residential mortgages held-for-sale. We currently sell both conforming and non-conforming loans on a servicing released basis.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Bank balances its liquidity needs based on loan and deposit growth through the investment portfolio and purchased funds. It is the Bank’s goal to provide adequate liquidity to support the loan growth of the Bank. In the event the Bank has excess liquidity, investment securities are used to generate additional income. In the event deposit growth does not fully support the Bank’s loan growth, the Bank may utilize third-party deposit listing services to obtain brokered certificates of deposit, access secured advances with the Federal Home Loan Bank of Atlanta and the Federal Reserve Bank of Richmond, and access unsecured federal fund lines of credit from correspondent banking relationships. The Bank may also incorporate a combination of sales of investment securities or Federal Funds purchased to augment the Bank’s funding position.</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current investment policy authorizes the Bank to invest in debt securities issued by the United States Government, agencies of the United States Government, or United States Government-sponsored enterprises. The policy permits investments in mortgage-backed securities, including pass-through securities, issued and guaranteed by Fannie Mae, Freddie Mac, and Ginnie Mae. The investment policy also permits investments in federal funds and deposits in other insured institutions. In addition, management is authorized to invest in investment grade state and municipal obligations, private mortgage-backed securities, and the subordinated debt of other financial institutions. The Company is also the beneficiary of life insurance policies on certain current and former Bank employees. These policies generate income and can be liquidated, if necessary, with associated tax costs.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accepted accounting principles require that, at the time of purchase, the Bank designate a security as “held-to-maturity,” “available-for-sale,” or “trading,” depending on our ability and intent to hold such security. Debt securities available-for-sale are reported at fair value, while debt securities held-to-maturity are reported at amortized cost. The Bank does not maintain a trading or a held-to-maturity portfolio.</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investment portfolio is actively managed and consists of investments classified as available-for-sale and under the available-for-sale classification, investment instruments may be sold as deemed appropriate by management. On a monthly basis, the investment portfolio is marked to market as required by ASC 320 - </w:t>
      </w:r>
      <w:r>
        <w:rPr>
          <w:rFonts w:ascii="Times New Roman" w:cs="Times New Roman" w:eastAsia="Times New Roman" w:hAnsi="Times New Roman"/>
          <w:sz w:val="18"/>
          <w:szCs w:val="18"/>
          <w:i w:val="1"/>
          <w:iCs w:val="1"/>
          <w:color w:val="auto"/>
        </w:rPr>
        <w:t>Investments - Debt &amp; Equity Securities</w:t>
      </w:r>
      <w:r>
        <w:rPr>
          <w:rFonts w:ascii="Times New Roman" w:cs="Times New Roman" w:eastAsia="Times New Roman" w:hAnsi="Times New Roman"/>
          <w:sz w:val="18"/>
          <w:szCs w:val="18"/>
          <w:color w:val="auto"/>
        </w:rPr>
        <w:t>. Additionally, the investment portfolio is used to balance the Bank’s asset and liability position. The Bank invests in fixed rate or floating rate instruments as necessary to reduce interest rate risk exposure.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investment policy is reviewed annually by our Board. The Company’s Board has delegated the responsibility of monitoring our investment activities to management consistent with the requirements of the Bank’s Asset Liability Management policy. We actively monitor our investments on an ongoing basis to identify any material changes in the securities. We also review our available-for-sale securities in an unrealized loss position for allowance for credit losses at least quarterly.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Deposit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Deposits are the major source of funding for the Bank. The Bank offers a broad array of consumer and commercial deposit products that include digital banking, demand, negotiable order of withdrawal (“NOW”), money market and savings accounts, as well as certificates of deposit. The Bank typically pays a competitive rate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interest-bearing deposits. As a relationship-oriented organization, we seek generally to obtain deposit relationships with our loan clients. Through our membership in the IntraFi Network®, we can arrange FDIC insurance of up to $135 million of demand deposits, $100 million of savings, or a combination of $175 million. In addition, we can arrange FDIC insurance up to $50 million on certificates of deposits.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Bank’s overall balance sheet positions dictate, we may become more or less competitive in our interest rate structure as our liquidity position changes. Additionally, we may use wholesale deposits to augment our funding position or achieve a desired interest rate risk management position.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Services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solutions include small business and commercial checking and savings options as well as investments via our wealth management group. Treasury management solutions include a suite of digital banking, payables, receivables, risk management, and automated cash flow, such as enhanced reporting, automated clearing house (“ACH”), wires, remote deposit capture, bill pay, lockbox, credit and debit cards, merchant services, fraud protection, and deposit and loan sweeps.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we had 400 full-time employees. None of our employees are covered by a collective bargaining agreement.</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consider our diverse employee base and our culture to be a competitive advantage. Our employees are from many different countries across the world, whether by birth or descent. This diversity provides us the opportunity to serve our customers, communities, and each other in meaningful and impactful ways that result in long lasting relationships. Our overall human capital strategy focuses on attracting, engaging, and retaining qualified, diverse, and innovative talent at all levels of the Company. We are a committed equal opportunity employer, and all qualified candidates receive consideration for employment without regard to race, color, religion, national origin, age, disability, sex, sexual orientation, gender, gender identity, pregnancy, genetic information, or other characteristics protected by applicable law. Beyond nondiscrimination compliance, we are committed to maintaining a workforce committed to our core values to inspire trust, act with integrity, respect one another, and embrace our differences.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actively listen to our employees throughout the year using a defined and continual listening strategy designed to gather regular feedback on well-being, engagement, leadership, ethics, culture and values, and other top of mind topics. These surveys allow us to respond to employee concerns, benefit from employee perspectives, and better design and develop processes to support our Company culture. Employees can learn about changes through our ongoing employee updates or employee town hall meetings delivered by senior management.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not only on attracting and retaining talented employees, but also in developing our current employees and providing opportunities for their growth. We offer our employees numerous live and on-demand training programs and resources to help them build knowledge and improve skills. These trainings include mandatory programs, as well as recommended programs in areas, including leadership development, technical skills, and diversity, equity, and inclusion.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Wellness and Safety</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emphasizes the safety and well-being of our employees as a top priority. We define wellness comprehensively and include mental, physical, emotional, financial, psychological, and environmental considerations. We offer a competitive compensation and benefits package and support dedicated campaigns that communicate directly to employees about wellness. Employee well-being is further supported through policies such as remote work, paid parental leave, military service leave, educational assistance, and bereavement leave policies.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a competitive compensation and benefits program to our employees. In addition to salaries, these programs include annual bonus opportunities, a 401(k) plan with an employer matching contribution, healthcare and insurance benefits, flexible spending accounts, paid time off, and an employee assistance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headquarters is located at 100 S. Fairfax Street, Alexandria, Virginia 22314, and our telephone number at that address is 703-666-3555. Additional information can be found on our website at https://www.burkeandherbertbank.com. Information on our website or any other website is not incorporated by reference herein and does not constitute a part of this Form 10-K.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Supervision and Regulation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the Bank are highly regulated under both federal and state laws. The following description briefly addresses certain provisions of federal and state laws and regulations and their potential effects on the Company and the Bank. To the extent statutory or regulatory provisions or proposals are described in this Form 10-K, the description is qualified in its entirety by reference to the particular statutory or regulatory provisions or proposals.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7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As a bank holding company registered under the Bank Holding Company Act of 1956 (the “BHCA”), that has elected financial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status, the Company is subject to supervision, regulation, and examination by the Federal Reserve. The Company is also registered under the bank holding company laws of Virginia and is subject to supervision, regulation, and examination by the Virginia BFI.</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Enacted in 2010, the Dodd-Frank Wall Street Reform and Consumer Protection Act (the “Dodd-Frank Act”) has significantly changed the financial regulatory regime in the United States. Since the enactment of the Dodd-Frank Act, U.S. banks and financial services firms, such as the Company and the Bank, have been subject to enhanced regulation and oversight. Several provisions of the Dodd-Frank Act remain subject to further rulemaking, guidance, and interpretation by the federal banking agencies; moreover, certain provisions of the Dodd-Frank Act that were implemented by federal agencies have been revised or rescinded pursuant to legislative changes adopted by the U.S. Congress.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Enacted in 2018, the Economic Growth, Regulatory Relief, and Consumer Protection Act (the “EGRRCPA”) amended certain provisions of the Dodd-Frank Act as well as statutes administered by the Federal Reserve and the FDIC. Certain provisions of the Dodd-Frank Act and changes thereto resulting from the enactment of EGRRCPA that may affect the Company and the Bank are discussed below in more detail.</w:t>
      </w:r>
    </w:p>
    <w:p>
      <w:pPr>
        <w:spacing w:after="0" w:line="12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Permitted Activities. </w:t>
      </w:r>
      <w:r>
        <w:rPr>
          <w:rFonts w:ascii="Times New Roman" w:cs="Times New Roman" w:eastAsia="Times New Roman" w:hAnsi="Times New Roman"/>
          <w:sz w:val="18"/>
          <w:szCs w:val="18"/>
          <w:color w:val="auto"/>
        </w:rPr>
        <w:t>The permitted activities of a bank holding company are limited to managing or controlling banks, furnishing services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performing services for its subsidiaries, and engaging in other activities that the Federal Reserve determines by regulation or order to be closely related to banking or managing or controlling banks.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(as determined by the Federal Reserve in consultation with the Secretary of the Treasury) or (ii) complementary to a financial activity and does not pose a substantial risk to the safety and soundness of depository institutions or the financial system generally (as solely determined by the Federal Reserve), without prior approval of the Federal Reserve. Activities that are financial in nature include, but are not limited to, securities underwriting and dealing, insurance underwriting, and making merchant banking investments. Despite prior approval or permissibility, the Federal Reserve may order the Company or its subsidiaries to terminate any activity or to terminate ownership or control of any subsidiary when the Federal Reserve has reasonable cause to believe that a serious risk to the financial safety, soundness, or stability of any bank subsidiary may result from such an activity.</w:t>
      </w:r>
    </w:p>
    <w:p>
      <w:pPr>
        <w:spacing w:after="0" w:line="1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maintain financial holding company status, a financial holding company and all of its depository institution subsidiaries must be “well capitalized” and “well managed” as defined under applicable Federal Reserve requirements. If a financial holding company ceases to meet these capital and management requirements, the Federal Reserve’s regulations provide that the financial holding company must enter into an agreement with the Federal Reserve to comply with all applicable capital and management requirements. Until the financial holding company returns to compliance, the Federal Reserve may impose limitations or conditions on the conduct of its activities,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not commence any of the broader financial activities permissible for financial holding companies or acquire a company engaged in such financial activities without prior approval of the Federal Reserve. If the company does not return to compliance within 180 days, the Federal Reserve may require the financial holding company to divest its depository institution subsidiaries or to cease engaging in any activity that is financial in nature (or incident to such financial activity) or complementary to a financial activity. Further, in order for a financial holding company to commence any new activity permitted by the BHCA or to acquire a company engaged in any new activity permitted by the BHCA, each insured depository institution subsidiary of the financial holding company must have received a rating of at least “satisfactory” in its most recent examination under the Community Reinvestment Act of 1977 (the “CRA”). See below under “The Bank – Community Reinvestment Act.”</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Bank Acquisitions; Change in Control</w:t>
      </w:r>
      <w:r>
        <w:rPr>
          <w:rFonts w:ascii="Times New Roman" w:cs="Times New Roman" w:eastAsia="Times New Roman" w:hAnsi="Times New Roman"/>
          <w:sz w:val="18"/>
          <w:szCs w:val="18"/>
          <w:color w:val="auto"/>
        </w:rPr>
        <w:t>. The BHCA and related regulations require, among other things, the prior approval of the Federal Reserve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case where a bank holding company proposes to (i) acquire direct or indirect ownership or control of more than 5% of the outstanding voting stock of any bank or bank holding company (unless it already owns a majority of such voting shares), (ii) acquire all or substantially all of the assets of another bank or bank holding company, or (iii) merge or consolidate with any other bank holding company. In determining whether to approve a proposed bank acquisition, the Federal Reserve will consider, among other factors, the effect of the acquisition on competition, the public benefits expected to be received from the acquisition, any outstanding regulatory compliance issues of any institution that is a party to the transaction, the projected capital ratios and levels on a post-acquisition basis, the financial condition of each institution that is a party to the transaction and of the combined institution after the transaction, the parties’ managerial resources and risk management and governance processes and systems, the parties’ compliance with the Bank Secrecy Act (“BSA”) and anti-money laundering requirements, and the acquiring institution’s performance under the Community Reinvestment Act of 1977 and compliance with fair housing and other consumer protection laws.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9, 2021, the President of the United States of America issued an Executive Order on Promoting Competition in the American Economy, which, among other initiatives, encouraged the review of current practices and adoption of a plan for the revitalization of merger oversight under the BHCA and the Bank Merger Act. On March 31, 2022, the FDIC published a Request for Information seeking information and comments regarding the regulatory framework that applies to merger transactions involving one or more insured depository institutions, but subsequently has not taken any action nor issued a report with respect to the information and comments submitted in response to the request. Making any formal changes to the framework for evaluating bank mergers would require an extended process, and any such changes are uncertain and cannot be predicted at this time. However, the adoption of more expansive or stringent standards may have an impact on the Company’s ability to engage in acquisition activities. Additionally, this Executive Order could influence the federal bank regulatory agencies’ expectations and supervisory oversight for banking acquisitions.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BHCA and the Change in Bank Control Act, together with the applicable regulations, require Federal Reserve approval (or depending on the circumstances, no notice of disapproval) prior to any person or company’s acquiring “control” of a bank or bank holding company. A conclusive presumption of control exists if any individual or company acquires the power, directly or indirectly, to direct the management or policies of an insured depository institution or to vote 25% or more of any class of voting securities of any insured depository institution. A rebuttable presumption of control exists if a person or company acquires 10% or more but less than 25% of any class of voting securities of an insured depository institution and either the institution has registered its securities with the SEC under Section 12 of the Exchange Act or no other person will own a greater percentage of that class of voting securities immediately after the acquisition.</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Virginia law requires prior approval from the Virginia BFI for (i) the acquisition by a Virginia bank holding company of more than 5% of the voting shares of a Virginia bank or any holding company that controls a Virginia bank, or (ii) the acquisition by a Virginia bank holding company of a bank or its holding company domiciled outside Virginia.</w:t>
      </w:r>
    </w:p>
    <w:p>
      <w:pPr>
        <w:spacing w:after="0" w:line="12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Source of Strength. </w:t>
      </w:r>
      <w:r>
        <w:rPr>
          <w:rFonts w:ascii="Times New Roman" w:cs="Times New Roman" w:eastAsia="Times New Roman" w:hAnsi="Times New Roman"/>
          <w:sz w:val="18"/>
          <w:szCs w:val="18"/>
          <w:color w:val="auto"/>
        </w:rPr>
        <w:t>Federal Reserve policy has historically required bank holding companies to act as a source of financial and managerial strength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subsidiary banks. The Dodd-Frank Act codified this policy as a statutory requirement. Under this requirement, the Company is expected to commit resources to support the Bank, including at times when the Company may not be in a financial position to provide such resources. Any capital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the priority of payment.</w:t>
      </w:r>
    </w:p>
    <w:p>
      <w:pPr>
        <w:spacing w:after="0" w:line="1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Safety and Soundness. </w:t>
      </w:r>
      <w:r>
        <w:rPr>
          <w:rFonts w:ascii="Times New Roman" w:cs="Times New Roman" w:eastAsia="Times New Roman" w:hAnsi="Times New Roman"/>
          <w:sz w:val="18"/>
          <w:szCs w:val="18"/>
          <w:color w:val="auto"/>
        </w:rPr>
        <w:t>There are a number of obligations and restrictions imposed on bank holding companies and their subsidiary banks by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policy that are designed to minimize potential loss to the depositors of such depository institutions and the FDIC insurance fund in the event of a depository institution insolvency, receivership, or default. For example, under the Federal Deposit Insurance Corporation Improvement Act of 1991, to avoid receivership of an insured depository institution subsidiary, a bank holding company is required to guarantee the compliance of any subsidiary bank that may become “undercapitalized” with the terms of any capital restoration plan filed by such subsidiary with its appropriate federal bank regulatory agency up to the lesser of (i) an amount equal to 5% of the institution’s total assets at the time the institution became “undercapitalized,” or (ii) the amount that is necessary (or would have been necessary) to bring the institution into compliance with all applicable capital standards as of the time the institution fails to comply with such capital restoration plan.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Federal Deposit Insurance Act (“FDIA”), federal bank regulatory agencies have adopted guidelines prescribing safety and soundness standards. These guidelines establish general standards relating to capital management, internal controls and information systems, data security, loan documentation, credit underwriting, interest rate exposure, risk management vendor management, corporate governance, asset growth, and compensation, fees, and benefits. In general, the guidelines require, among other things, appropriate systems and practices to identify and manage the risk and exposures specified in the guidelines.</w:t>
      </w:r>
    </w:p>
    <w:p>
      <w:pPr>
        <w:spacing w:after="0" w:line="1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Capital Requirements</w:t>
      </w:r>
      <w:r>
        <w:rPr>
          <w:rFonts w:ascii="Times New Roman" w:cs="Times New Roman" w:eastAsia="Times New Roman" w:hAnsi="Times New Roman"/>
          <w:sz w:val="18"/>
          <w:szCs w:val="18"/>
          <w:color w:val="auto"/>
        </w:rPr>
        <w:t>. The Federal Reserve imposes certain capital requirements on bank holding companies under the BHCA, including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ratio and a minimum ratio of “qualifying” capital to risk-weighted assets. These requirements are described below under “The Bank – Capital Requirements.” Subject to its capital requirements and certain other restrictions, the Company is able to borrow money to make a capital contribution to the Bank, and such loans may be repaid from dividends paid by the Bank to the Company.</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Limits on Dividends, Capital Distributions, and Other Payments. </w:t>
      </w:r>
      <w:r>
        <w:rPr>
          <w:rFonts w:ascii="Times New Roman" w:cs="Times New Roman" w:eastAsia="Times New Roman" w:hAnsi="Times New Roman"/>
          <w:sz w:val="18"/>
          <w:szCs w:val="18"/>
          <w:color w:val="auto"/>
        </w:rPr>
        <w:t>The Company is a legal entity, separate and distinct from its Bank subsidiary.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portion of the revenues of the Company result from dividends paid to it by the Bank. There are various legal limitations applicable to the payment of dividends by the Bank to the Company, to the payment of dividends by the Company to its shareholders, and to the repurchase by the Company of outstanding shares of its capital stock. The Bank is subject to various statutory and regulatory restrictions on its ability to pay dividends to the Company. Under current regulations, prior approval from the Federal Reserve is required if cash dividends declared by the Bank or the Company may be limited by other factors, such as requirements to maintain capital above regulatory guidelines. Bank regulatory agencies have the authority to prohibit the Bank and the Company from engaging in unsafe or unsound practices in conducting their respective businesses. The payment of dividends, or the repurchase of outstanding capital stock, depending on the financial condition of the Bank or the Company, could be deemed to constitute such an unsafe or unsound practice.</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FDIA, insured depository institutions, such as the Bank, are prohibited from making capital distributions, including the payment of dividends, if after making such distributions the institution would become “undercapitalized” (as such term is used in the FDIA).</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receive fees from or pay fees to its affiliated companies for expenses incurred related to certain activities performed by or for the Company for the benefit of its affiliated companies or for its benefit. These fees are charged to/received from each affiliated company based upon various specific allocation methods measuring the estimated usage of such services by that company. The fees are eliminated from reported financial statements in the consolidation process.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Bank</w:t>
      </w:r>
    </w:p>
    <w:p>
      <w:pPr>
        <w:spacing w:after="0" w:line="17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Bank is supervised and regularly examined by the FDIC and the Virginia BFI. The various laws and regulations administered by the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agencies affect corporate practices, such as the payment of dividends, incurrence of debt, and the acquisition of financial institutions and other companies. These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regulations also affect business practices, such as the payment of interest on deposits, the charging of interest on loans, credit policies, the types of business conducted, and the location of offices. Certain of these laws and regulations are referenced above under “The Company.”</w:t>
      </w:r>
    </w:p>
    <w:p>
      <w:pPr>
        <w:spacing w:after="0" w:line="1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Requirements. </w:t>
      </w:r>
      <w:r>
        <w:rPr>
          <w:rFonts w:ascii="Times New Roman" w:cs="Times New Roman" w:eastAsia="Times New Roman" w:hAnsi="Times New Roman"/>
          <w:sz w:val="18"/>
          <w:szCs w:val="18"/>
          <w:color w:val="auto"/>
        </w:rPr>
        <w:t>The Federal Reserve and the other federal banking agencies have issued risk-based and leverage capital guidelines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banking organizations. Those regulatory agencies may from time to time require that a banking organization maintain capital above the minimum levels because of its financial condition or actual or anticipated growth.</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Federal Reserve has adopted final rules regarding capital requirements and calculations of risk-weighted assets to implement the Basel III regulatory capital reforms from the Basel Committee on Banking Supervision and certain provisions of the Dodd-Frank Act. These rules require the Bank to comply with the following minimum capital ratios: (i) a minimum ratio of common equity Tier 1 to risk-weighted assets of 4.5%, plus a 2.5% capital conservation buffer, resulting in a minimum ratio of common equity Tier 1 to risk-weighted assets of 7.0%, (ii) a minimum ratio of Tier 1 capital to risk-weighted assets of 6.0%, plus the 2.5% capital conservation buffer, resulting in a minimum Tier 1 capital ratio of 8.5%, (iii) a minimum ratio of total risk-based capital to risk-weighted assets of 8.0%, plus the 2.5% capital conservation buffer, resulting in a minimum total risk-based capital ratio of 10.5%, and</w:t>
      </w:r>
    </w:p>
    <w:p>
      <w:pPr>
        <w:spacing w:after="0" w:line="5" w:lineRule="exact"/>
        <w:rPr>
          <w:sz w:val="20"/>
          <w:szCs w:val="20"/>
          <w:color w:val="auto"/>
        </w:rPr>
      </w:pPr>
    </w:p>
    <w:p>
      <w:pPr>
        <w:jc w:val="both"/>
        <w:ind w:firstLine="8"/>
        <w:spacing w:after="0" w:line="253" w:lineRule="auto"/>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leverage ratio of 4.0%, calculated as the ratio of Tier 1 capital to average assets. The capital conservation buffer, which was phased in ratably over a four-year period beginning January 1, 2016, is designed to absorb losses during periods of economic stress. Banking institutions with a ratio of common equity Tier 1 to risk-weighted assets above the minimum but below the conservation buffer will face constraints on dividends, equity repurchases, and discretionary compensation paid to certain officers, based on the amount of the shortfall.</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Tier 1, common equity Tier 1, and total capital to risk-weighted asset ratios of the Company were 16.85%, 16.85%, and 17.88%, respectively, as of December 31, 2023, thus exceeding the minimum requirements for “well capitalized” status. The Tier 1, common equity Tier 1, and total capital to risk-weighted asset ratios of the Bank were 16.79%, 16.79%, and 17.82%, respectively, as of December 31, 2023, also exceeding the minimum requirements for “well capitalized” status. See </w:t>
      </w:r>
      <w:r>
        <w:rPr>
          <w:rFonts w:ascii="Times New Roman" w:cs="Times New Roman" w:eastAsia="Times New Roman" w:hAnsi="Times New Roman"/>
          <w:sz w:val="18"/>
          <w:szCs w:val="18"/>
          <w:u w:val="single" w:color="auto"/>
          <w:color w:val="0000FF"/>
        </w:rPr>
        <w:t>Note 12 — Regulatory Capital Matters</w:t>
      </w:r>
      <w:r>
        <w:rPr>
          <w:rFonts w:ascii="Times New Roman" w:cs="Times New Roman" w:eastAsia="Times New Roman" w:hAnsi="Times New Roman"/>
          <w:sz w:val="18"/>
          <w:szCs w:val="18"/>
          <w:color w:val="auto"/>
        </w:rPr>
        <w:t>, in Notes to the December 31, 2023 Consolidated Financial Statements of the Company (the “Notes to Consolidated Financial Statements”) for additional information.</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directed by the EGRRCPA, on November 4, 2019, the federal banking agencies jointly issued a final rule that permits qualifying banks that have less than $10 billion in total consolidated assets to elect to be subject to a 9% “community bank leverage ratio” (“CBLR”). Under the final rule, a qualifying bank that has chosen the proposed framework would not be required to calculate the existing risk-based and leverage capital requirements and would be considered to have met the capital ratio requirements to be “well capitalized” under “prompt corrective action” rules provided it has a CBLR greater than 9%. The Bank has not yet opted into the CBLR framework, but continues to assess the potential impact of making this election as part of its ongoing capital management and planning processes.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2016, the Financial Accounting Standards Board (“FASB”) issued Accounting Standards Update (“ASU”) 2016-13, Financial Instruments – Credit Losses (Topic 326): Measurement of Credit Losses on Financial Instruments, which requires financial institutions to estimate and establish an allowance for credit losses using a current expected credit loss (“CECL”) model. The CECL model will estimate credit losses over the lifetime of our financial assets measured at amortized cost at the date of origination or acquisition, as opposed to reserving for incurred or probable losses through the balance sheet date. The Company implemented ASU 2016-13 on January 1, 2023, and recognized a one-time cumulative effect adjustment to the allowance through retained earnings as a result of applying this ASU. The Federal Reserve and FDIC have adopted a rule providing for an optional three-year phase-in period for the day-one adverse regulatory capital effects upon adopting the standard, which the Company has not elected to implement. See “</w:t>
      </w:r>
      <w:r>
        <w:rPr>
          <w:rFonts w:ascii="Times New Roman" w:cs="Times New Roman" w:eastAsia="Times New Roman" w:hAnsi="Times New Roman"/>
          <w:sz w:val="18"/>
          <w:szCs w:val="18"/>
          <w:b w:val="1"/>
          <w:bCs w:val="1"/>
          <w:i w:val="1"/>
          <w:iCs w:val="1"/>
          <w:color w:val="auto"/>
        </w:rPr>
        <w:t>Adoption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Accounting Standards</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Note 1 — Nature of Banking Activities and Significant Accounting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Notes to the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for further information regarding the implementation of CECL.</w:t>
      </w:r>
    </w:p>
    <w:p>
      <w:pPr>
        <w:spacing w:after="0" w:line="13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Prompt Corrective Action. </w:t>
      </w:r>
      <w:r>
        <w:rPr>
          <w:rFonts w:ascii="Times New Roman" w:cs="Times New Roman" w:eastAsia="Times New Roman" w:hAnsi="Times New Roman"/>
          <w:sz w:val="18"/>
          <w:szCs w:val="18"/>
          <w:color w:val="auto"/>
        </w:rPr>
        <w:t>Federal banking regulators are authorized and, under certain circumstances, required to take certain actions against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fail to meet their capital requirements. The federal bank regulatory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additional enforcement authority with respect to “undercapitalized” depository institutions. As described above, the final rules to implement the Basel</w:t>
      </w:r>
    </w:p>
    <w:p>
      <w:pPr>
        <w:spacing w:after="0" w:line="27" w:lineRule="exact"/>
        <w:rPr>
          <w:sz w:val="20"/>
          <w:szCs w:val="20"/>
          <w:color w:val="auto"/>
        </w:rPr>
      </w:pPr>
    </w:p>
    <w:p>
      <w:pPr>
        <w:jc w:val="both"/>
        <w:ind w:firstLine="8"/>
        <w:spacing w:after="0" w:line="253" w:lineRule="auto"/>
        <w:tabs>
          <w:tab w:leader="none" w:pos="2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framework also integrated new requirements into the “prompt corrective action” framework. “Well capitalized” institutions may generally operate without additional supervisory restriction. With respect to “adequately capitalized” institutions, such banks cannot normally pay dividends or make any capital contributions that would leave the bank “undercapitalized;” they cannot pay a management fee to a controlling person if after paying the fee, it would be “undercapitalized;” and they cannot accept, renew, or rollover any brokered deposit unless the bank has applied for and been granted a waiver by the FDIC.</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Immediately upon becoming “undercapitalized,” a depository institution becomes subject to the provisions of Section 38 of the FDIA, which: (i) restrict payment of capital distributions and management fees; (ii) require that the appropriate federal banking agency monitor the condition of the institution and its efforts to restore its capital; (iii) require submission of a capital restoration plan; (iv) restrict the growth of the institution’s assets; and (v) require prior approval of certain expansion proposals. The appropriate federal banking agency for an “undercapitalized” institution also may take any number of discretionary supervisory actions if the agency determines that any of these actions is necessary to resolve the problems of the institution at the least possible long-term cost to the Deposit Insurance Fund of the FDIC (“DIF”), subject in certain cases to specified procedures. These discretionary supervisory actions include: (i) requiring the institution to raise additional capital; (ii) restricting transactions with affiliates; (iii) requiring divestiture of the institution or the sale of the institution to a willing purchaser; and (iv) any other supervisory action that the agency deems appropriate. These and additional mandatory and permissive supervisory actions may be taken with respect to significantly “undercapitalized” and “critically undercapitalized” institutions.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be “well-capitalized” under the federal banking agencies’ “prompt corrective action” regulations adopted pursuant to Section 38 of the FDIA, banks must maintain a minimum Tier 1 leverage ratio of 5.0%, a minimum common equity Tier 1 capital ratio of 6.5%, a minimum Tier 1 capital ratio of 8.0%, and a minimum total capital ratio of 10.0%. The Bank met the definition of being “well capitalized” as of December 31, 2023, and December 31, 2022. See “The Bank – Capital Requirements,” above.</w:t>
      </w:r>
    </w:p>
    <w:p>
      <w:pPr>
        <w:spacing w:after="0" w:line="1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 Insurance. </w:t>
      </w:r>
      <w:r>
        <w:rPr>
          <w:rFonts w:ascii="Times New Roman" w:cs="Times New Roman" w:eastAsia="Times New Roman" w:hAnsi="Times New Roman"/>
          <w:sz w:val="18"/>
          <w:szCs w:val="18"/>
          <w:color w:val="auto"/>
        </w:rPr>
        <w:t>The deposits of the Bank are insured up to applicable limits by the DIF. The basic limit on FDIC deposit insurance coverage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$250,000 per depositor. Under the FDIA, the FDIC may terminate deposit insurance upon a finding that the institution has engaged in unsafe or unsound practices, is in an unsafe or unsound condition to continue operations as an insured depository institution, or has violated any applicable law, regulation, rule, order, or condition imposed by the FDIC, subject to administrative and potential judicial hearing and review processes.</w:t>
      </w:r>
    </w:p>
    <w:p>
      <w:pPr>
        <w:spacing w:after="0" w:line="1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Bank is subject to deposit insurance assessments to maintain the DIF. Deposit insurance pricing is based on CAMELS composite ratings and certain other financial ratios to determine assessment rates for small-established institutions with less than $10 billion in assets. The CAMELS rating system is a supervisory rating system designed to take into account and reflect all financial and operational risks that a bank may face, including Capital adequacy, Asset quality, Management capability, Earnings, Liquidity, and Sensitivity to market risk (“CAMELS”). CAMELS composite ratings set a maximum insurance assessment for CAMELS 1 (highest) and 2 rated banks and set minimum assessments for lower rated institutions.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2016, the FDIC implemented by final rule certain Dodd-Frank Act provisions by raising the DIF’s minimum reserve ratio from 1.15% to 1.35%. The FDIC imposed a 4.5 basis point annual surcharge on insured depository institutions with total consolidated assets of $10 billion or more. The rule granted credits to smaller banks for the portion of their regular assessments that contributed to increasing the reserve ratio from 1.15% to 1.35%. For the years ended December 31, 2023, December 31, 2022, and December 31, 2021, the Company recorded expense of $1.65 million, $958 thousand, and $920 thousand, respectively, for FDIC insurance premiums.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18, 2022, the FDIC adopted a final rule to increase initial base deposit insurance assessment rate schedules uniformly by 2 basis points, beginning in the first quarterly assessment period of 2023. This increase in assessment rate schedules is intended to increase the likelihood that the reserve ratio reaches 1.35% by the statutory deadline of September 30, 2028. The new assessment rate schedules will remain in effect unless and until the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ratio meets or exceeds 2%. Progressively lower assessment rate schedules will take effect when the reserve ratio reaches 2%, and again when it reaches 2.5%.</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Transactions with Affiliates. </w:t>
      </w:r>
      <w:r>
        <w:rPr>
          <w:rFonts w:ascii="Times New Roman" w:cs="Times New Roman" w:eastAsia="Times New Roman" w:hAnsi="Times New Roman"/>
          <w:sz w:val="18"/>
          <w:szCs w:val="18"/>
          <w:color w:val="auto"/>
        </w:rPr>
        <w:t>Pursuant to Sections 23A and 23B of the Federal Reserve Act and Regulation W, the authority of the Bank to engage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with related parties or “affiliates,” or to make loans to insiders, is limited. Loan transactions with an affiliate generally must be collateralized and certain transactions between the Bank and its affiliates, including the sale of assets, the payment of money, or the provision of services, must be on terms and conditions that are substantially the same, or at least as favorable to the Bank, as those prevailing for comparable nonaffiliated transactions. In addition, the Bank generally may not purchase securities issued or underwritten by affiliates.</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Loans to executive officers, directors, or to any person who directly or indirectly, or acting through or in concert with one or more persons, owns, controls, or has the power to vote more than 10% of any class of voting securities of a bank are subject to Sections 22(g) and 22(h) of the Federal Reserve Act and their corresponding regulations (Regulation O) and Section 13(k) of the Exchange Act, relating to the prohibition on personal loans to executives (which exempts financial institutions in compliance with the insider lending restrictions of Section 22(h) of the Federal Reserve Act). Among other things, these loans must be made on terms substantially the same as those prevailing on transactions made to unaffiliated individuals and certain extensions of credit to those persons must first be approved in advance by a disinterested majority of the entire board of directors. Section 22(h) of the Federal Reserve Act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of the Federal Reserve Act identifies limited circumstances in which a bank is permitted to extend credit to executive officers.</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Community Reinvestment Act. </w:t>
      </w:r>
      <w:r>
        <w:rPr>
          <w:rFonts w:ascii="Times New Roman" w:cs="Times New Roman" w:eastAsia="Times New Roman" w:hAnsi="Times New Roman"/>
          <w:sz w:val="18"/>
          <w:szCs w:val="18"/>
          <w:color w:val="auto"/>
        </w:rPr>
        <w:t>The Bank is subject to the requirements of the CRA. The CRA imposes on financial institutions an affirmative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ongoing obligation to meet the credit needs of the local communities they serve, including low-income and moderate-income neighborhoods. If the Bank receives a rating from the FDIC of less than “satisfactory” under the CRA, restrictions on operating activities would be imposed. In addition, in order for a financial holding company, like the Company, to commence any new activity permitted by the BHCA, or to acquire any company engaged in any new activity permitted by the BHCA, each insured depository institution subsidiary of the financial holding company must have received a rating of at least “satisfactory” in its most recent examination under the CRA. The Bank received a “satisfactory” CRA rating in its most recent examination, dated May 1, 2023.</w:t>
      </w:r>
    </w:p>
    <w:p>
      <w:pPr>
        <w:spacing w:after="0" w:line="1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24, 2023, the federal bank regulatory agencies jointly issued a final rule to modernize CRA regulations consistent with the following key goals: (1) to encourage banks to expand access to credit, investment, and banking services in low to moderate income communities; (2) to adapt to changes in the banking industry, including internet and mobile banking and the growth of non-branch delivery systems; (3) to provide greater clarity and consistency in the application of the CRA regulations, including adoption of a new metrics-based approach to evaluating bank retail lending and community development financing; and (4) to tailor CRA evaluations and data collection to bank size and type, recognizing that differences in bank size and business models may impact CRA evaluations and qualifying activities. Most of the final CRA rule’s requirements will be applicable beginning January 1, 2026, with certain requirements, including the data reporting requirements, applicable as of January 1, 2027. The Bank is currently evaluating the impact of the modified CRA regulations, but does not anticipate any resulting material impact to its operations or compliance objectives. The Bank anticipates that final and formal changes to interagency CRA regulations will require an extended process, and any such changes are uncertain and cannot be predicted at this time.</w:t>
      </w:r>
    </w:p>
    <w:p>
      <w:pPr>
        <w:spacing w:after="0" w:line="13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Federal Home Loan Banks (“FHLBs”). </w:t>
      </w:r>
      <w:r>
        <w:rPr>
          <w:rFonts w:ascii="Times New Roman" w:cs="Times New Roman" w:eastAsia="Times New Roman" w:hAnsi="Times New Roman"/>
          <w:sz w:val="18"/>
          <w:szCs w:val="18"/>
          <w:color w:val="auto"/>
        </w:rPr>
        <w:t>The Bank is a member of the FHLB of Atlanta, which is one of 12 regional FHLBs that provide funding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members for making housing loans as well as for affordable housing and community development loans. Each FHLB serves as a reserve, or central bank, for the members within its assigned region, and makes loans to its members in accordance with policies and procedures established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the applicable FHLB. As a member, the Bank must purchase and maintain stock in the FHLB of Atlanta.</w:t>
      </w:r>
    </w:p>
    <w:p>
      <w:pPr>
        <w:spacing w:after="0" w:line="16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Privacy Legislation. </w:t>
      </w:r>
      <w:r>
        <w:rPr>
          <w:rFonts w:ascii="Times New Roman" w:cs="Times New Roman" w:eastAsia="Times New Roman" w:hAnsi="Times New Roman"/>
          <w:sz w:val="18"/>
          <w:szCs w:val="18"/>
          <w:color w:val="auto"/>
        </w:rPr>
        <w:t>Several laws, including the Right to Financial Privacy Act and the Gramm-Leach-Bliley Act (“GLB Act”), and related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the federal bank regulatory agencies, provide protections against the transfer and use of customer information by financial institutions. A financial institution must provide its customers information regarding its policies and procedures with respect to the handling of customers’ personal information. Each institution must conduct an internal risk assessment of its ability to protect customer information. These privacy provisions generally prohibit a financial institution from providing a customer’s personal financial information to unaffiliated parties without prior notice to and approval from the customer.</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2021, the Governor of Virginia signed into law the Virginia Consumer Data Protection Act (the “VCDPA”), which went into effect on January 1, 2023. The VCDPA grants Virginia residents the right to access, correct, delete, know, and opt-out of the sale and processing for targeted advertising purposes of their personal information, similar to the protections provided by similar consumer data privacy laws in California and in Europe. The VCDPA also imposes data protection assessment requirements and authorizes the Attorney General of Virginia to enforce the VCDPA, but does not provide a private right of action for consumers. As a financial institution subject to the GLB Act, the Bank is exempt from the VCDPA, but certain third-party vendors of the Company or the Bank will be subject to the VCDPA, which may impact the products or services that we obtain from those vendors.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Collectively, these privacy laws and regulations impose compliance costs and create obligations and, in some cases, reporting obligations, and compliance with these laws, regulations, and obligations may require significant resources of the Company and the Bank.</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Anti-Money Laundering Laws and Regulations. </w:t>
      </w:r>
      <w:r>
        <w:rPr>
          <w:rFonts w:ascii="Times New Roman" w:cs="Times New Roman" w:eastAsia="Times New Roman" w:hAnsi="Times New Roman"/>
          <w:sz w:val="18"/>
          <w:szCs w:val="18"/>
          <w:color w:val="auto"/>
        </w:rPr>
        <w:t>The Bank is subject to several federal laws that are designed to combat money laundering, terrorist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and transactions with persons, companies or foreign governments designated by U.S. authorities (“AML laws”). This category of laws includes the BSA, the Money Laundering Control Act of 1986, the Uniting and Strengthening America by Providing Appropriate Tools Required to Intercept and Obstruct Terrorism Act of 2001 (“USA PATRIOT Act”), and the Anti-Money Laundering Act of 2020.</w:t>
      </w:r>
    </w:p>
    <w:p>
      <w:pPr>
        <w:spacing w:after="0" w:line="12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AML laws and their implementing regulations require insured depository institutions, broker-dealers, and certain other financial institutions to have policies, procedures, and controls to detect, prevent, and report money laundering and terrorist financing. The AML laws and their regulations also provide for information sharing, subject to conditions, between federal law enforcement agencies and financial institutions, as well as among financial institutions, for counter-terrorism purposes. Federal banking regulators are required, when reviewing bank holding company acquisition and bank merger applications, to take into account the effectiveness of the anti-money laundering activities of the applicants. To comply with these obligations, the Bank has implemented appropriate internal practices, procedures, and controls.</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Reporting Terrorist Activities. </w:t>
      </w:r>
      <w:r>
        <w:rPr>
          <w:rFonts w:ascii="Times New Roman" w:cs="Times New Roman" w:eastAsia="Times New Roman" w:hAnsi="Times New Roman"/>
          <w:sz w:val="18"/>
          <w:szCs w:val="18"/>
          <w:color w:val="auto"/>
        </w:rPr>
        <w:t>The Office of Foreign Assets Control (“OFAC”), which is a division of the Department of the Treasury, is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helping to ensure that United States entities do not engage in transactions with “enemies” of the United States, as defined by various executive orders and acts of Congress. OFAC has sent, and will send, our bank regulatory agencies lists of names of persons and organizations suspected of aiding, harboring, or engaging in terrorist acts. If the Bank finds a name on any transaction, account, or wire transfer that is on an OFAC list, it must freeze such account, file a suspicious activity report, and notify the Federal Bureau of Investigation. The Bank has appointed an OFAC compliance officer to oversee the inspection of its accounts and the filing of any notifications. The Bank actively checks high-risk OFAC areas, such as new accounts, wire transfers, and customer files. The Bank performs these checks utilizing software, which is updated each time a modification is made to the lists provided by OFAC and other agencies of Specially Designated Nationals and Blocked Persons.</w:t>
      </w:r>
    </w:p>
    <w:p>
      <w:pPr>
        <w:spacing w:after="0" w:line="13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Financial Protection. </w:t>
      </w:r>
      <w:r>
        <w:rPr>
          <w:rFonts w:ascii="Times New Roman" w:cs="Times New Roman" w:eastAsia="Times New Roman" w:hAnsi="Times New Roman"/>
          <w:sz w:val="18"/>
          <w:szCs w:val="18"/>
          <w:color w:val="auto"/>
        </w:rPr>
        <w:t>The Bank is subject to a number of federal and state consumer protection laws that extensively govern its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Settlement Procedures Act, the Fair Debt Collection Practices Act, the Service Members Civil Relief Act, laws governing flood insurance, federal and state laws prohibiting unfair and deceptive business practices, foreclosure laws, and various regulations that implement some or all of the foregoing. These laws and regulations mandate certain disclosure requirements and regulate the manner in which financial institutions must deal with customers when taking deposits, making loans, collecting loans, and providing other services. If the Bank fails to comply with these laws and regulations, it may be subject to various penalties. Failure to comply with consumer protection requirements may also result in failure to obtain any required bank regulatory approval for merger or acquisition transactions the Bank may wish to pursue or being prohibited from engaging in such transactions, even if approval is not required.</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Dodd-Frank Act centralized responsibility for consumer financial protection by creating a new agency, the Consumer Financial Protection Bureau (the “CFPB”), and giving it responsibility for implementing, examining, and enforcing compliance with federal consumer protection laws. The CFPB focuses on (i) risks to consumers and compliance with the federal consumer financial laws, (ii) the markets in which firms operate and risks to consumers posed by activities in those markets, (iii) depository institutions that offer a wide variety of consumer financial products and services, and (iv) non-depository companies that offer one or more consumer financial products or services. The CFPB is responsible for implementing, examining, and enforcing compliance with federal consumer financial laws for institutions with more than $10 billion of assets. While the Bank, like all banks, is subject to federal consumer protection rules enacted by the CFPB, because the Company and the Bank have total consolidated assets of less than $10 billion, the FDIC oversees most consumer protection aspects of the Dodd-Frank Act and other laws and regulations applicable to the Bank.</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CFPB has broad rulemaking authority for a wide range of consumer financial laws that apply to all banks, including, among other things, the authority to prohibit “unfair, deceptive or abusive” acts and practices. Abusive acts or practices are defined as those that materially interfere with a consumer’s ability to understand a term or condition of a consumer financial product or service or take unreasonable advantage of a consumer’s (i) lack of financial savvy, (ii) inability to protect himself or herself in the selection or use of consumer financial products or services, or (iii) reasonable reliance on a covered entity to act in the consumer’s interests. The CFPB can issue cease-and-desist orders against banks and other entities that violate consumer financial laws. The CFPB may also institute a civil action against an entity in violation of federal consumer financial law in order to impose a civil penalty or injunction. Further regulatory positions taken by the CFPB may influence how other regulatory agencies may apply the subject consumer financial protection laws and regulations.</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Incentive Compensation</w:t>
      </w:r>
      <w:r>
        <w:rPr>
          <w:rFonts w:ascii="Times New Roman" w:cs="Times New Roman" w:eastAsia="Times New Roman" w:hAnsi="Times New Roman"/>
          <w:sz w:val="18"/>
          <w:szCs w:val="18"/>
          <w:color w:val="auto"/>
        </w:rPr>
        <w:t>. The Dodd-Frank Act requires the federal banking agencies and the SEC to establish joint regulations or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prohibiting incentive-based payment arrangements at specified regulated entities with at least $1 billion in total consolidated assets, that encourage inappropriate risks by providing an executive officer, employee, director, or principal shareholder with excessive compensation, fees, or benefits that could lead to material financial loss to the entity. In 2016, the SEC and the federal banking agencies proposed rules that prohibit covered financial institutions (including bank holding companies and banks) from establishing or maintaining incentive-based compensation arrangements that encourage inappropriate risk taking by providing covered persons (consisting of senior executive officers and significant risk takers, as defined in the rules) with excessive compensation, fees, or benefits that could lead to material financial loss to the financial institution. The comment period for these proposed rules has closed, and a final rule has not yet been published; however, in September 2023, the SEC and the federal banking agencies indicated that the incentive compensation proposal would be on their collective 2024 regulatory agenda. If the rules are adopted as currently proposed, they will restrict the manner in which executive compensation is structured.</w:t>
      </w:r>
    </w:p>
    <w:p>
      <w:pPr>
        <w:spacing w:after="0" w:line="13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Mortgage Banking Regulation. </w:t>
      </w:r>
      <w:r>
        <w:rPr>
          <w:rFonts w:ascii="Times New Roman" w:cs="Times New Roman" w:eastAsia="Times New Roman" w:hAnsi="Times New Roman"/>
          <w:sz w:val="18"/>
          <w:szCs w:val="18"/>
          <w:color w:val="auto"/>
        </w:rPr>
        <w:t>In connection with making mortgage loans, the Bank is subject to rules and regulations that,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 standards for loan origination, prohibit discrimination, provide for inspections and appraisals of property, require credit reports on prospective borrowers, in some cases, restrict certain loan features and fix maximum interest rates and fees, require the disclosure of certain basic information to mortgagors concerning credit and settlement costs, limit payment for settlement services to the reasonable value of the services rendered, and require the maintenance and disclosure of information regarding the disposition of mortgage applications based on race, gender, geographical distribution, and income level. The Bank is also subject to rules and regulations that require the collection and reporting of significant amounts of information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mortgage loans and borrowers. The Bank’s mortgage origination activities are subject to Regulation Z, which implements the Truth in Lending Act. Certain provisions of Regulation Z require creditors to make a reasonable and good faith determination based on verified and documented information that a consumer applying for a mortgage loan has a reasonable ability to repay the loan according to its terms.</w:t>
      </w:r>
    </w:p>
    <w:p>
      <w:pPr>
        <w:spacing w:after="0" w:line="1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Brokered Deposits. </w:t>
      </w:r>
      <w:r>
        <w:rPr>
          <w:rFonts w:ascii="Times New Roman" w:cs="Times New Roman" w:eastAsia="Times New Roman" w:hAnsi="Times New Roman"/>
          <w:sz w:val="18"/>
          <w:szCs w:val="18"/>
          <w:color w:val="auto"/>
        </w:rPr>
        <w:t>Section 29 of the FDIA and FDIC regulations generally limit the ability of any bank to accept, renew, or roll over any brokered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unless it is “well capitalized” or, with the FDIC’s approval, “adequately capitalized.” However, as a result of EGRRCPA, the FDIC undertook a comprehensive review of its regulatory approach to brokered deposits, including reciprocal deposits, and interest rate caps applicable to banks that are less than “well capitalized.” On December 15, 2020, the FDIC issued rules to revise brokered deposit regulations in light of modern deposit-taking methods. The rules established a new framework for certain provisions of the “deposit broker” definition and amended the FDIC’s interest rate methodology calculating rates and rate caps. The rules became effective on April 1, 2021. The Bank has not experienced any material impact to its operations as a result of the rules.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Future Regulation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various legislative and regulatory initiatives are introduced in Congress and state legislatures, as well as by regulatory agencies. Such initiatives may include proposals to expand or contract the powers of bank holding companies, financial holding companies, and depository institutions or proposals to substantially change the financial institution regulatory system. Such legislation could change banking statutes and the operating environment of the Company and the Bank in substantial and unpredictable ways. If enacted, such legislation could increase or decrease the cost of doing business, limit or expand permissible activities, or affect the competitive balance among banks, savings associations, credit unions, and other financial institutions. The Company cannot predict whether any such legislation will be enacted, and, if enacted, the effect that it, or any implementing regulations, would have on the financial condition or results of operations of the Company or the Bank.</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Governmental Monetary Policies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operations are affected not only by general economic conditions but also by the policies of various regulatory authorities. In particular, the Federal Reserve uses monetary policy tools to impact money market and credit market conditions and interest rates to influence general economic conditions. These policies have a significant impact on overall growth and distribution of loans, investments, and deposits; they affect market interest rates charged on loans or paid for time and savings deposits, and can significantly influence employment and inflation rates. Federal Reserve monetary policies have had a significant effect on the operating results of commercial banks, including the Company, in the past and are expected to do so in the future.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Reporting Obligations under Securities Laws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the periodic and other reporting requirements of the Exchange Act, including the filing of annual, quarterly, and other reports with the SEC. The Company’s SEC filings will be posted and available at no cost on its website as soon as reasonably practicable after the reports are filed electronically with the SEC. The Company’s website address is at http://investor.burkeandherbertbank.com. The information on the Company’s website is not incorporated into this report or any other filing the Company makes with the SEC. The SEC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investment in our Common Stock involves risks and uncertainties. In addition to the other information set forth in this Form 10-K, including information addressed under “Disclosure Regarding Forward-Looking Statements,” investors in our Common Stock should carefully consider the factors discussed below. These factors could materially and adversely affect our business, financial condition, liquidity, results of operations, and capital position and could cause our actual results to differ materially from our historical results or the results contemplated by the forward-looking statements contained in our Form 10-K, in which case the trading price of our Common Stock could decline. The Risk Factors Summary that follows should be read in conjunction with the detailed description of risk factors following this summary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3"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 Related to Our Lending Activities</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measure and limit our credit risk adequately.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regarding credit risk could be inaccurate and our allowance for credit losses may be inadequate, which could materially and adversely affect our business, financial condition, results of operations, cash flows, and/or future prospects.</w:t>
      </w: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non-performing assets increase, our earnings will be adversely affected.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lending to small to medium-sized businesses may increase our credit risk.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 or economy in our market area could lead to higher levels of problem loans and charge-offs, adversely affecting our earnings and financial condition.</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higher credit risk by commercial real estate, commercial and industrial, and acquisition, construction &amp; development-based lending, as well as large lending relationships.</w:t>
      </w: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lending secured by real estate and may be forced to foreclose on the collateral.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loans are attributable to a relatively small number of borrowers.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appraisals and other valuation techniques we use may not accurately reflect the net value of the asset.</w:t>
      </w:r>
    </w:p>
    <w:p>
      <w:pPr>
        <w:spacing w:after="0" w:line="15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Funding and Liquidity</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could impair our ability to fund operations and meet our obligations as they become due.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deposits or a change in deposit mix could increase our cost of funding.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use brokered deposits as part of our funding strategy may affect our profitability.</w:t>
      </w:r>
    </w:p>
    <w:p>
      <w:pPr>
        <w:spacing w:after="0" w:line="15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Business, Industry, and Markets</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face increasing competition from a variety of traditional and new financial services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may be negatively affected if we are unable to execute our strategy.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keep up with the rapid technological changes in the financial services industry could have an adverse effect on our competitive position and profitability.</w:t>
      </w:r>
    </w:p>
    <w:p>
      <w:pPr>
        <w:ind w:left="660" w:right="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a relationship-based operating model, and our ability to maintain our reputation is critical to the success of our business, and the failure to do so may materially adversely affect our performance.</w:t>
      </w: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management team and key employees.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monetary policy may negatively affect our earnings, income and financial condition, as well as the value of our assets.</w:t>
      </w: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physical and financial risks associated with climate change impacts.</w:t>
      </w:r>
    </w:p>
    <w:p>
      <w:pPr>
        <w:spacing w:after="0" w:line="15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Operations</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operational, technological, and organizational infrastructure.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breaches of our network security, including as a result of cyber-attacks or data security breaches, could subject us to increased operating costs, litigation, and other liabilities.</w:t>
      </w:r>
    </w:p>
    <w:p>
      <w:pPr>
        <w:ind w:left="660" w:right="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key components of our business infrastructure, and a failure of these parties to perform for any reason could disrupt our operations.</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losses, regulatory action, or reputational harm due to fraudulent and negligent acts on the part of loan applicants, our employees, and vendors.</w:t>
      </w: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claims and litigation pertaining to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lack of soundness of other financial institutions or other market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framework may not be effective in mitigating risks and/or losses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Company’s services is influenced by general economic and consumer trends.</w:t>
      </w:r>
    </w:p>
    <w:p>
      <w:pPr>
        <w:spacing w:after="0" w:line="15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Regulatory Environment</w:t>
      </w:r>
    </w:p>
    <w:p>
      <w:pPr>
        <w:spacing w:after="0" w:line="29" w:lineRule="exact"/>
        <w:rPr>
          <w:rFonts w:ascii="Times New Roman" w:cs="Times New Roman" w:eastAsia="Times New Roman" w:hAnsi="Times New Roman"/>
          <w:sz w:val="18"/>
          <w:szCs w:val="18"/>
          <w:i w:val="1"/>
          <w:iCs w:val="1"/>
          <w:color w:val="auto"/>
        </w:rPr>
      </w:pPr>
    </w:p>
    <w:p>
      <w:pPr>
        <w:ind w:left="660" w:right="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regulated, and the regulatory framework, together with any future legislative or regulatory changes, may have a materially adverse effect on our operations.</w:t>
      </w: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capital requirements, which could have an adverse effect on our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risk of noncompliance and enforcement action with the BSA and other anti-money laundering statutes and regulations.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vendors and our other ongoing third-party business relationships are subject to increasing regulatory requirements and attention.</w:t>
      </w: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affecting our loans secured by commercial real estate could limit our ability to leverage our capital and adversely affect our growth and profitability.</w:t>
      </w: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and evolving expectations from customers, regulators, investors, and other stakeholders with respect to Environmental, Social, and Governance (“ESG”) practices may impose additional costs on us or expose us to new or additional risks.</w:t>
      </w:r>
    </w:p>
    <w:p>
      <w:pPr>
        <w:spacing w:after="0" w:line="12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an Investment in Our Common Stock</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qualify as an “emerging growth company”, and the reduced disclosures and relief from certain other significant disclosure requirements that are available to emerging growth companies may make our Common Stock less attractive to investors.</w:t>
      </w:r>
    </w:p>
    <w:p>
      <w:pPr>
        <w:ind w:left="66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associated with being a public company require significant resources and management attention, which may divert from our business operations.</w:t>
      </w:r>
    </w:p>
    <w:p>
      <w:pPr>
        <w:ind w:left="660" w:right="2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ind w:left="66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equity securities, or engage in other transactions, which could affect the priority of our Common Stock, which may adversely affect the market price of our Common Stock.</w:t>
      </w: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Stock is not an insured deposit and is not guaranteed by the FDIC.</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p>
    <w:p>
      <w:pPr>
        <w:spacing w:after="0" w:line="12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Relating to the Consummation of the Merger and Burke &amp; Herbert Following the Merger</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costs related to the merger and integration.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Burke &amp; Herbert and Summit may be more difficult, costly, or time-consuming than expected, and Burke &amp; Herbert and Summit may fail to realize the anticipated benefits of the merger.</w:t>
      </w:r>
    </w:p>
    <w:p>
      <w:pPr>
        <w:ind w:left="66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following the merger may suffer if we do not effectively manage our expanded operations, including complying with any enhanced regulatory requirements.</w:t>
      </w: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corporation may be unable to retain Burke &amp; Herbert and/or Summit personnel successfully after the merger is completed.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necessary for the merger to close may not be received, may take longer than expected, or may impose conditions that are not presently anticipated or that could have an adverse effect on the continuing corporation following the merger.</w:t>
      </w: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may be terminated and the merger may not be completed.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merger could negatively impact us.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we will assume Summit’s outstanding debt obligations, and our level of indebtedness following the completion of the merger could adversely affect our ability to raise additional capital and to meet our obligations under its existing indebtedness.</w:t>
      </w: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business uncertainties and contractual restrictions while the merger is 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elevated interest rate environment may adversely impact the fair value adjustments of investments and loans acquired in the merger.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will have reduced ownership and voting interest in the continuing corporation after the consummation of the merger and will exercise less influence over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Our Lending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measure and limit our credit risk adequately, which could adversely affect our profitability.</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may be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expected credit losses. Additional factors related to the credit quality of multifamily residential, real estate construction, and other commercial real estate loans include the quality of management of the business and tenant vacancy rates.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Chief Credit Officer is responsible for establishing credit risk policies and procedures, including underwriting guidelines and credit approval authority, and monitoring credit exposure and performance of the Company’s lending-related transactions. Credit risk policies and procedures and credit-related risks are reviewed and approved by multiple committees that assess credit risk and enterprise-wide risks. 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an adverse effect on our business, financial condition, and results of operations.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decisions regarding credit risk could be inaccurate and our allowance for credit losses may be inadequate, which could materially and adversely affect our business, financial condition, results of operations, cash flows, and/or future prospects.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attempt to maintain an appropriate allowance for credit losses to provide for our estimate of all expected credit losses for financial assets held at the reporting date based on historical experience, current conditions, and reasonable and supportable forecasts. As of December 31, 2023, the allowance for credit losses was $25.3 million or 1.21% of total gross loans. The determination of the appropriate level of allowance for credit losses inherently involves a high degree of subjectivity and requires us to make significant estimates related to current and expected future credit risks and trends, all of which may undergo material changes. Continuing deterioration in economic conditions affecting borrowers and securities issuers; new information regarding existing loans, credit commitments and securities holdings; global pandemics; natural disasters and risks related to climate change; and identification of additional problem loans, ratings down-grades and other factors, both within and outside of our control, may require an increase in the allowances for credit losses on loans, securities, and off-balance sheet credit exposures. There is no precise method of predicting credit losses, and therefore, we always face the risk that losses in future periods will exceed our allowance for credit losses and that we would need to make additional provisions to our allowance for credit losses. Our methodology for the determination of the adequacy of the allowance for credit losses is set forth in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auto"/>
        </w:rPr>
        <w:t xml:space="preserve"> of the accompanying Consolidated Financial Statements.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federal and state banking regulators, as an integral part of their supervisory function, periodically review the allowance for credit losses. These regulatory agencies may require us to increase our provision for credit losses or to recognize further loan charge-offs based upon their judgments, which may be different from ours. If we need to make significant and unanticipated increases in the loss allowance in the future, or to take additional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offs for which we have not established adequate reserves, our business, financial condition, and results of operations could be adversely affected at that time.</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2023, the Company adopted the Current Expected Credit Loss (“CECL”) methodology as required under ASC 326. The CECL standard requires us to record, at the time of origination, credit losses expected throughout the life of our loans as opposed to the previous approach of recording losses when it became probable that a loss event had occurred. Accordingly, our allowance for credit losses may experience more fluctuations under the CECL model than it has in the past, which could in turn result in more volatility in our provision for credit losses and, therefore, earnings. See “Recent Accounting Pronouncements” under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of this Form 10-K, for further information regarding the implementation of CECL.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non-performing assets increase, our earnings will be adversely affected.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we had $3.7 million in non-performing assets. Non-performing assets consist of non-accrual loans, loans 90 days or more past due and still accruing interest, and other real estate owned. Non-performing assets held by the Company will adversely affect our net income in various ways:</w:t>
      </w:r>
    </w:p>
    <w:p>
      <w:pPr>
        <w:spacing w:after="0" w:line="122"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interest income only on the cash basis or cost-recovery method for non-accrual loans and we do not record interest income for other real estate owned;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provide for probable credit losses through a current period charge to the provision for credit losses;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increases when we write down the value of properties in our other real estate owned portfolio to reflect changing market values;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legal fees associated with the resolution of problem assets, as well as carrying costs, such as taxes, insurance, and maintenance fees;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non-performing assets requires the active involvement of management, which can distract them from more profitable activity.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borrowers become delinquent and do not pay their loans and we are unable to successfully manage our non-performing assets, our losses and troubled assets could increase, which could have a material adverse effect on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focus on lending to small to medium-sized businesses may increase our credit risk.</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target our business development and marketing strategy primarily to serve the banking and financial services needs of small to medium-sized businesses. These businesses generally have fewer financial resources in terms of capital access or borrowing capacity than larger entities, frequently have smaller market shares than their competition, and may be more vulnerable to economic downturns. These businesses also often need substantial additional capital to expand or compete, and may experience substantial volatility in operating results, any of which may impair their ability as a borrower to repay a loan. These factors may be especially true given the effects of global macroeconomic conditions, including volatility and market factors related to or caused by any health crises, global political conflict, rising interest rates, labor market volatility, and instability in financial markets. If general economic conditions in the markets in which we operate negatively impact this customer segment, our results of operations and financial condition and the value of our Common Stock may be adversely affected. Moreover, a portion of these loans have been made by us in recent years, and the borrowers may not have experienced a complete business or economic cycle. The deterioration of our borrowers’ businesses may hinder their ability to repay their loans with us,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the real estate market or economy in our market area could lead to higher levels of problem loans and charge-offs, adversely affecting our earnings and financial condition.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make loans primarily to borrowers in the Washington, D.C. MSA, focusing on the Virginia counties of Arlington, Fairfax, Loudoun and Prince William and the independent cities located within those counties, and Washington, D.C., and its Maryland suburbs. A substantial portion of our loans are secured by real estate. These concentrations expose us to the risk that adverse developments in the real estate market, or in the general economic conditions in such areas, or the continuation of such adverse developments, could increase the levels of non-performing loans and charge-offs, and reduce loan demand and deposit growth. In that event, we would likely experience lower earnings or losses. Additionally, if economic conditions in the area deteriorate, or there is volatility or weakness in the economy or any significant sector of the economy in our markets, our ability to develop our business relationships may be diminished, the quality and collectability of our loans may be adversely affected, our provision for credit losses may increase, the value of collateral may decline, and loan demand may be reduced.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higher credit risk by commercial real estate, commercial and industrial, and acquisition, construction &amp; development-based lending as well as large lending relationships.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Commercial real estate, commercial and industrial, and acquisition, construction &amp; development-based lending usually involve higher credit risks than 1-4 family residential real estate lending. As of December 31, 2023, the following loan types accounted for the stated percentages of our loan portfolio: commercial real estate – 62.7%; owner-occupied commercial real estate – 6.3%; commercial and industrial – 3.2%; and acquisition, construction &amp; development – 2.4%. These types of loans also involve larger loan balances to a single borrower or groups of related borrowers. These higher credit risks are further heightened when the loans are concentrated in a small number of larger borrowers leading to relationship exposure. As of December 31, 2023, we had 17 relationships that each had over $25 million of outstanding borrowings. While we are not dependent on any of these relationships and while none of these large relationships have directly impacted our allowance for credit losses, a deterioration of any of these large credits could require us to increase our allowance for credit losses or result in significant losses.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Commercial and industrial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which in turn can be dependent upon general economic conditions remaining stable. In addition, the assets securing the loans depreciate over time, are difficult to appraise and liquidate, and fluctuate in value based on the success of the business.</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Real estate construction and development loan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(particularly given recent volatility in supply chains, the availability of raw materials, and general economic conditions)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of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commercial real estate loans, commercial and industrial loans, and acquisition, construction &amp; development loans are more susceptible to a risk of loss during a downturn in the business cycle. Our underwriting, review and monitoring cannot eliminate all of the risks related to these loans. In particular, the banking regulatory agencies have expressed concerns about weaknesses in the current commercial real estate market.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typically give commercial real estate lending greater scrutiny and may require banks with higher levels of commercial real estate loans to implement enhanced risk management practices, including stricter underwriting, internal controls, risk management policies, more granular reporting, and portfolio stress testing, as well as possibly higher levels of allowances for losses and capital levels as a result of commercial real estate lending growth and exposure. If our banking regulators determine that our commercial real estate lending activities are particularly risky and are subject to heightened scrutiny, we may incur significant additional costs or be required to restrict certain of our commercial real estate lending activities.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engage in lending secured by real estate and may be forced to foreclose on the collateral and own the underlying real estate, subjecting us to the costs and potential risks associated with foreclosure and the ownership of real property.</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including in response to the COVID-19 pandemic. Additionally, federal and state regulators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loans are attributable to a relatively small number of borrowers.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10 largest borrowing relationships accounted for approximately 22.4% of our total loans at December 31, 2023. Our largest single borrowing relationship accounted for approximately 3.0% of our total loans at December 31, 2023. The loss of any combination of these borrowers, or a significant decline in their borrowings due to fluctuations related to their business needs or as a result of general economic conditions, could adversely affect our results of operations if we are unable to replace their borrowings with similarly priced new loans or investments. In addition, with this concentration of credit risk among a limited number of borrowers, we may face a greater risk of material credit losses if any one or several of these borrowers fail to perform in accordance with their loans, compared to a bank with a more diversified loan portfolio.</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appraisals and other valuation techniques we use in evaluating and monitoring loans secured by real property and other real estate owned may not accurately reflect the net value of the asset.</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any of these valuations are inaccurate, our consolidated financial statements may not reflect the correct value of our OREO, if any, and our allowance for credit losses may not reflect accurate loan impairments.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of OREO or inaccurate provisioning for credit losses could have an adverse effect on our business, financial condition, and results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OREO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Funding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 could impair our ability to fund operations and meet our obligations as they become due.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Liquidity is essential to our business. An inability to maintain sufficient deposits or raise funds through additional deposits, borrowings, the sale of loans, and other sources could have a substantial negative effect on our liquidity. Our access to funding sources in amounts adequate to finance our activities, or on terms that are acceptable to us, could be impaired by factors that affect us specifically, the financial services industry, or the economy, in general. Factors that could detrimentally affect our access to liquidity sources may be beyond our control and include, among other things, market disruptions, changes in our credit ratings or the sentiment of our investors, the state of the regulatory environment and monetary and fiscal policies, competitive dynamics, reputational damage, the confidence of depositors in us or the financial-services industry, generally, a decrease in the level of our business activity as a result of a downturn in the markets in which our loans are concentrated, and an adverse regulatory action against us. Our ability to borrow could also be impaired by factors that are not specific to us, such as a disruption in the financial markets, rising interest rates, the possibility of the U.S. government defaulting on its debt, or negative views and expectations about the prospects for the financial services industry.</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two large financial institutions were closed and entered into FDIC receivership in part due to significant deposit withdrawals, which resulted in further significant</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 withdrawals at certain other financial institutions. While the Company did not experience significant unusual deposit withdrawals related to these events in early 2023, we cannot be assured that similar unusual deposit withdrawal activity will not affect banks, generally, or us in the future.</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Among other sources of funds, we rely heavily on deposits for funds to make loans and provide for our other liquidity needs. However, loan demand may exceed the rate at which we are able to build core deposits for which there is substantial competition from a variety of different competitors, so we may rely on interest-sensitive deposits, including brokered deposits, as sources of funds. Those deposits may not be as stable as other types of deposits, and in the future, depositors may not renew those deposits when they mature, or we may have to pay a higher rate of interest to attract or retain them or to replace them with other deposits or with funds from other sources. Not being able to attract deposits, or to retain or replace them as they mature, would adversely affect our liquidity. Paying higher deposit rates to attract, retain, or replace those deposits could have a negative effect on our net interest margin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deposits or a change in deposit mix could increase our cost of funding.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Deposits are generally a low-cost and stable source of funding. We compete with banks and other financial institutions for deposits. Funding costs may increase if we lose deposits and are forced to replace them with more expensive sources. Depending on the interest rate environment and competitive factors, low-cost deposits may need to be replaced with higher cost funding, resulting in a decrease in net interest income and net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ability to use brokered deposits as part of our funding strategy may affect our profitability.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“brokered deposit” is any deposit that is obtained from, or through the mediation or assistance of, a deposit broker. These deposit brokers attract deposits from individuals and companies throughout the country and internationally whose deposit decisions are based almost exclusively on obtaining the highest interest rates. We have used brokered deposits in the past, and we may continue to use brokered deposits as one of our funding sources to support future growth. As of December 31, 2023, brokered deposits represented approximately 13.0% of our total deposits.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Banks may be restricted in their ability to accept brokered deposits, depending on their capital classification. “Well capitalized” banks are permitted to accept brokered deposits, but all banks that are not well capitalized could be restricted from accepting such deposits. The FDIC may, on a case-by-case basis, permit banks that are adequately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to accept brokered deposits, if the FDIC determines that acceptance of such deposits would not constitute an unsafe or unsound banking practice with respect to the bank. Should we lose our “well capitalized” status, these restrictions could materially and adversely affect our ability to access lower costs funds, and thereby decrease our future earnings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and face increasing competition from a variety of traditional and new financial services providers.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many competitors. Our principal competitors are commercial and community banks, credit unions, savings and loan associations, mortgage banking firms, online mortgage lenders, and consumer finance companies, including large national financial institutions that operate in our market. Many of these competitors are larger than us, have significantly more resources, greater brand recognition,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continued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negatively affected if we are unable to execute our strategy.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strategy is to grow organically and supplement that growth with select acquisitions, if available. Our success depends primarily on generating loans and deposits of acceptable risk and expense. There can be no assurance that we will be successful in continuing our organic, or internal, growth strategy. Our ability to identify appropriate markets for expansion, recruit and retain qualified personnel, and fund growth at reasonable cost depends upon prevailing economic conditions, maintenance of sufficient capital, competitive factors, changes in banking laws, and other factors.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of our ability to manage increased levels of assets and liabilities without increased expenses and higher levels of non-performing assets. We may be required to make additional investments in equipment and personnel to manage higher asset levels and loan balances, which may adversely affect earnings, shareholder returns, and our efficiency ratio. Increases in operating expenses or non-performing assets may decrease our earnings and the value of the Company’s capital stock.</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To the extent we are able to supplement organic growth with one or more acquisitions, we will be subject to risks commonly encountered in such transactions, including risks related to the time and expense of identifying, evaluating, and negotiating potential acquisitions, exposure to unknown or contingent liabilities of the target, difficulty of integrating the operations and personnel of the target, potential disruption of our ongoing business, failure to retain key personnel at the acquired business, and failure to realize any expected revenue increases, cost savings, and other projected benefits from an acquisition. See </w:t>
      </w:r>
      <w:r>
        <w:rPr>
          <w:rFonts w:ascii="Times New Roman" w:cs="Times New Roman" w:eastAsia="Times New Roman" w:hAnsi="Times New Roman"/>
          <w:sz w:val="18"/>
          <w:szCs w:val="18"/>
          <w:u w:val="single" w:color="auto"/>
          <w:color w:val="0000FF"/>
        </w:rPr>
        <w:t>“Risks Relating to the Consummation of the Merger and Burke &amp; Herbert Following the Merger” in this Item 1A — Risk Factors</w:t>
      </w:r>
      <w:r>
        <w:rPr>
          <w:rFonts w:ascii="Times New Roman" w:cs="Times New Roman" w:eastAsia="Times New Roman" w:hAnsi="Times New Roman"/>
          <w:sz w:val="18"/>
          <w:szCs w:val="18"/>
          <w:color w:val="auto"/>
        </w:rPr>
        <w:t xml:space="preserve"> for additional information regarding the risks related to our pending merger with Summit.</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the rapid technological changes in the financial services industry could have an adverse effect on our competitive position and profitability.</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have. We may not be able to implement new technology-driven products and services effectively or be successful in marketing these products and services to our customers. Failure to keep pace successfully with technological change affecting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follow a relationship-based operating model, and our ability to maintain our reputation is critical to the success of our business, and the failure to do so may materially adversely affect our performance.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community bank, and our reputation is one of the most valuable components of our business. As such, we strive to conduct our business in a manner that enhances our reputation. This is done, in part, by recruiting, hiring, and retaining bankers and other associates who share our core values of being an integral part of the communities we serve, delivering superior service to our customers, and caring about our customers and associates. Furthermore, maintaining our reputation also depends on our ability to protect our brand name and associated trademarks.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However, reputation risk, or the risk to our business, earnings, and capital from negative public opinion surrounding our Company, and the financial services industry, generally, is inherent in our business. Negative public opinion can result from our actual or alleged conduct in any number of activities, including business and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Although we take steps to minimize reputation risk in dealing with our customers and communities, this risk will always be present given the nature of our business. If our reputation is negatively affected by the actions of our employees, or otherwise, our business and operating results may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employees.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continued growth and future success will depend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strategy, and we may not be able to find adequate replacements on a timely basis, or at all.</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and monetary policy may negatively affect our earnings, income and financial condition, as well as the value of our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earnings and cash flows depend substantially upon our net interest income. Net interest income is the difference between interest income earned on interest-earning assets, such as loans and investment securities, and interest expense paid on interest-bearing liabilities, such as deposits and borrowed funds. Interest rates are sensitive to many factors that are beyond our control, including general economic conditions, competition and policies of various governmental and regulatory agencies, and in particular, the policies of the Federal Reserve.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rate increases often result in larger payment requirements for our borrowers, which increases the potential for default. At the same time, the marketability of the property securing a loan may be adversely affected by any reduced demand resulting from higher interest rates. In a rising interest rate environment, there may be an increase in prepayments on loans as borrowers refinance their loans at lower rates. In an interest rate environment such as the one we experienced in 2023, loan origination and refinancing activity may decline and the rate of interest we pay on our interest-bearing deposits, borrowings, and other liabilities may increase more quickly than the rate of interest we receive on loans, securities, and other earning assets.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Changes in monetary policy, including changes in interest rates, could not only influence the interest we receive on loans and investment securities and the amount of interest we pay on deposits and borrowings, but such changes could also affect: (1) our ability to originate loans and obtain deposits; (2) the fair value of our financial assets and liabilities, including our securities portfolio; and (3) the average duration of our interest-earning assets. Interest-earning assets may be more responsive to changes in interest rates than interest-bearing liabilities, or vice versa (repricing risk). Individual interest rates or rate indices underlying various interest-earning assets and interest-bearing liabilities may not change in the same degree over a given time period (basis risk), and interest rate relationships may change across the spectrum of interest-earning asset and interest-bearing liability maturities (yield curve risk), including a prolonged flat or inverted yield curve environment. For example, during 2023 inflation and rapid increases in interest rates led to a decline in the trading value of previously issued government securities with interest rates below then-current market interest rates, leading in turn to losses on the sale of such instruments by certain financial institutions, related effects on liquidity, and unrealized losses for institutions holding onto such instruments. Any substantial, unexpected, prolonged change in market interest rates could have a material adverse effect on our financial condition and results of operations.</w:t>
      </w:r>
    </w:p>
    <w:p>
      <w:pPr>
        <w:spacing w:after="0" w:line="14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physical and financial risks associated with climate change and other weather and natural disaster impacts.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growing risk of climate change. Among the risks associated with climate change are more frequent severe weather events. Severe weather events such as hurricanes, tropical storms, tornados, winter storms, freezes, flooding and other large-scale weather catastrophes in our markets subject us to significant risks, and more frequent severe weather events magnify those risks. Large-scale weather catastrophes, or other significant climate change effects that either damage or destroy residential or multifamily real estate underlying mortgage loans or real estate collateral, could decrease the value of our real estate collateral or increase our delinquency rates in the affected areas and thus diminish the value of our loan portfolio. In addition, the effects of climate change may have a significant effect on our geographic markets and could disrupt our operations or the operations of our customers, third-party service providers, or supply chains, more generally. Those disruptions could result in declines in economic conditions in our geographic markets or industries in which our borrowers operate and impact their ability to repay loans or maintain deposits. Climate change could also impact our assets or employees directly or lead to changes in customer preferences that could negatively affect our growth or business strategies. In addition, our reputation and customer relationships could be damaged due to our practices related to climate change, including our or our customers’ involvement in certain industries or projects associated with causing or exacerbating climate change. Moreover, the federal banking regulators are increasingly focused on the physical and financial risks to financial institutions associated with climate change, which may result in increased requirements regarding the disclosure and management of climate risks and related lending activities, as well as increased compliance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operational, technological, and organizational infrastructure.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grow and compete is dependent on the Bank’s ability to build or acquire the necessary operational and technological infrastructure and to manage the cost of that infrastructure as we expand. In our case, operational risk can manifest itself in many ways, such as errors related to failed or inadequate processes, faulty or disabled computer systems, fraud by employees or outside persons, and exposure to external events. As discussed below, we are dependent on our operational infrastructure to help manage these risks. In addition, we are heavily dependent on the strength and capability of the technology systems that the Bank uses both to interface with customers and to manage internal financial and other systems. Our ability to develop and deliver new products that meet the needs of our existing customers and attract new ones depends on the functionality of our technology systems. Additionally, our ability to run our business in compliance with applicable laws and regulations depends on these systems.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continuously monitor our operational and technological capabilities and make modifications and improvements as circumstances warrant. In some instances, the Bank may build and maintain these capabilities itself; however, we outsource many of these functions to third parties. These third parties may experience errors or disruptions, including cyber-attacks, that could adversely impact the Bank and over which the Bank may have limited control. We also face risk from the integration of new infrastructure platforms and/or new third-party providers of such platforms into the Bank’s existing businesses.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larger competitors have substantially greater resources to invest in technological improvements. As a result, they may be able to offer additional or superior technologies or services compared to those that we provide, which could put us at a competitive disadvantage. Accordingly, we may lose customers seeking new technology-driven products and services to the extent we are unable to compete effectively.</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failure or breaches of our network security, including as a result of cyber-attacks or data security breaches, could subject us to increased operating costs, as well as litigation and other liabilities.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computer systems and network infrastructure we use may be vulnerable to physical theft, fire, power loss, telecommunications failure, or a similar catastrophic event, as well as security breaches, denial of service attacks, viruses, worms, and other disruptive problems caused by hackers or malicious actors. Any damage or failure that causes breakdowns or disruptions in our customer relationship management, general ledger, deposit, loan, and other systems could damage our reputation, result in a loss of customer business, subject us to additional regulatory scrutiny for failure to comply with required information security standards, or expose us to civil litigation and possible financial liability, any of which could have a material adverse effect on us.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Computer break-ins, phishing, and other disruptions could also jeopardize the security of information stored in and transmitted through our computer systems and network infrastructure. Information security risks have generally increased in recent years in part because of the proliferation of new technologies, the use of the Internet and telecommunications technologies to conduct financial transactions, and the increased sophistication and activities of organized crime, hackers, terrorists, activists, and other external parties. Our operations rely on the secure processing, transmission, and storage of confidential information in our computer systems and networks. In addition, to access our products and services, our customers may use devices that are beyond our control systems. Although we believe we have robust information security procedures and controls, our technologies, systems, networks, and our customers’ devices may become the target of cyber-attacks or information security breaches that could result in the unauthorized release, gathering, monitoring, misuse, loss, or destruction of the Bank’s or our customers’ confidential, proprietary, and other information, or otherwise disrupt the Bank’s or our customers’ or other third parties’ business operations. As cyber threats continue to evolve, we may be required to expend significant additional resources to continue to modify or enhance our protective measures or to investigate and remediate any information security vulnerabilities.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Bank is under continuous threat of loss due to hacking and cyber-attacks, especially as we continue to expand customer capabilities to utilize internet and other remote channels to transact business. Two of the most significant cyber-attack risks that we face are e-fraud and loss of sensitive customer data. Loss from e-fraud occurs when cybercriminals extract funds directly from our customer accounts. Attempts to breach sensitive customer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as account numbers and social security numbers, present significant reputational, legal, and/or regulatory costs to us, if successful. Our risk and exposure to these matters remains heightened because of the evolving nature and complexity of these threats from cybercriminals and hackers, our plans to continue to provide internet banking and mobile banking channels, and our plans to develop additional remote connectivity solutions to serve our customers. We cannot assure that we will not be the victim of a material hacking or cyberattack that could cause us to suffer material losses or other harms. The occurrence of any cyber-attack or information security breach could result in potential liability to customers, reputational damage, and the disruption of our operations, and regulatory concerns, all of which could adversely affect our business, financial condition, or results of operations.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key components of our business infrastructure, and a failure of these parties to perform for any reason could disrupt our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Third parties provide key components of our business infrastructure such as data processing, internet connections, network access, core application processing, statement production, and account analysis. Our business depends on the successful and uninterrupted functioning of our information technology and telecommunications systems and third-party servicers.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and expense. If we are unable to efficiently replace ineffective service providers, or if we experience a significant, sustained, or repeated system failure or service denial, it could compromise our ability to operate effectively, damage our reputation, result in a loss of customer business, and subject us to additional regulatory scrutiny and possible financial liability, any of which could have an adverse effect on our business, financial condition, and results of operations.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losses, regulatory action, or reputational harm due to fraudulent and negligent acts on the part of loan applicants, our employees, and vendors.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clients and counterparties, and the terms of any such transaction, we may rely on information furnished by, or on behalf of, clients and counterparties, including financial statements, property appraisals, title information, employment and income documentation, account information, and other financial information. We may also rely on representations of clients and counterparties as to the accuracy and completeness of that information and, with respect to financial statements, on reports of independent auditors. Any such misrepresentation or incorrect or incomplete information, whether fraudulent or inadvertent, may not be detected prior to funding. In addition, one or more of our employees or vendors could cause a significant operational breakdown or failure, either as a result of human error or where an individual purposefully sabotages or fraudulently manipulates our loan documentation, operations, or systems. Whether a misrepresentation is made by the applicant or another third-party, we generally bear the risk of loss associated with the misrepresentation. A loan subject to a material misrepresentation is typically unsellable or subject to repurchase if it is sold prior to detection of the misrepresentation. The sources of the misrepresentations may also be difficult to locate, and we may be unable to recover any of the monetary losses we may suffer as a result of the misrepresentations. Any of these developments could have an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claims and litigation pertaining to intellectual property.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Banking and other financial services companies, such as ours, rely on technology companies to provide information technology products and services necessary to support their day-to-day operations. Technology companies frequently enter into litigation based on allegations of patent infringement or other violations of intellectual property rights. In addition, patent holding companies seek to monetize patents they have purchased or otherwise obtained. Competitors of our vendors, or other individuals or companies, may from time to time claim to hold intellectual property sold to us by our vendors. Such claims may increase in the future as the financial services sector becomes more reliant on information technology vendors. The plaintiffs in these actions frequently seek injunctions and substantial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Regardless of the scope or validity of such patents or other intellectual property rights, or the merits of any claims by potential or actual litigants, we may have to engage in protracted litigation. Such litigation is often expensive, time-consuming, disruptive to our operations, and distracting to management. If we are found to infringe one or more patents or other intellectual property rights, we may be required to pay substantial damages or royalties to a third-party. In certain cases, we may consider entering into licensing agreements for disputed intellectual property, although no assurance can be given that such licenses can be obtained on acceptable terms or that litigation will not occur. These licenses may also significantly increase our operating expenses. If legal matters related to intellectual property claims were resolved against us or settled, we could be required to make payments in amounts that could have an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lack of soundness of other financial institutions or other market participants.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clearing agencies, exchanges,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 For example, in March 2023, two large financial institutions were closed and entered FDIC receivership in each case due primarily to liquidity concerns. Although the Department of the Treasury, the Federal Reserve, and the FDIC stated that all depositors of those two institutions would have access to their deposits, including funds held in uninsured deposit accounts, it is not certain that depositors of future failed banks will receive similar treatment. Hence, borrowers under credit agreements, letters of credit and certain other financial instruments with any financial institution that is placed into receivership by the FDIC may be unable to access undrawn amounts thereunder.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framework may not be effective in mitigating risks and/or losses to us.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risk management framework is governed by various committees, including the Audit Committee, the Compensation Committee, the Nominating and Governance Committee, the Enterprise Risk Management Committee, the Credit Risk Management Committee, the Asset/Liability Committee, the Trust &amp; Wealth Management Committee, and the Regulatory Risk Committee. In lieu of a Chief Risk Officer, the Chief Credit Officer, the Executive Vice President for Enterprise Risk, and the Chief Financial Officer have primary responsibility for credit risk, enterprise risk, including regulatory risk, and asset and liability management risk, respectively, with each directly reporting to the Chief Executive Officer.</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 and results of operations could be adversely affected. We may also be subject to potentially adverse regulatory consequences.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the Company’s services is influenced by general economic and consumer trends beyond the Company’s control, including disruptions in the financial services industry, in general, and events such as global pandemics and geopolitical conflict.</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business and corresponding financial performance will not be adversely affected by general economic or consumer trends or events, including those affecting the financial services industry, in general, as well as pandemics, public health crises, weather catastrophes, acts of terrorism, war, and political instability. In particular, global economic markets have seen extensive volatility since the outbreak of the COVID-19 pandemic and the wars in Ukraine and the Middle East, which were further exacerbated by the closing of certain financial institutions by regulators in March 2023, and related disruptions in the 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In addition, recent events and attacks in the Red Sea on international shipping vessels threaten renewed inflationary pressures and the potential for short-term interest rates to remain elevated. These events have created, and may continue to create, significant disruption of the global economy and financial and labor markets. If such conditions continue, recur or worsen, this may have a material adverse effect on the Company’s business, financial condition, and results of operations. Furthermore, such economic conditions have produced downward pressure on share prices and on the availability of credit for financial institutions and corporations, while also driving up interest rates, further complicating borrowing and lending activities. If current levels of market disruption and volatility continue or increase, the Company might experience reductions in business activity, increases in funding costs, decreases in asset values, additional write-downs and impairment charges, and lower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regulated, and the regulatory framework, together with any future legislative or regulatory changes, may have a materially adverse effect on our operations.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extensive regulation, supervision, and examination by the Federal Reserve, our primary federal regulator, the Virginia BFI, our chartering authority, and the FDIC, as insurer of our deposits. Such regulation and supervision govern the activities in which we and the Bank may engage and are intended primarily for the protection of the insurance fund and the depositors and borrowers of the Bank rather than for holders of our Common Stock. Various consumer compliance laws also affect our operations. Regulatory authorities have extensive discretion in their supervisory and enforcement activities, including the imposition of restrictions on our operations, the classification of our assets, and determination of the level of our allowance for credit losses. Any change in such regulation and oversight, whether in the form of regulatory policy, regulations, legislation, or supervisory action, may have a material impact on our operations. The earnings of the Bank, and therefore the earnings of the Company, are affected by changes in federal and state legislation and actions of various regulatory authorities.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capital requirements, which could have an adverse effect on our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Federal regulations establish minimum capital requirements for insured depository institutions, including minimum risk-based capital and leverage ratios, and define “capital” for calculating these ratios. Not including the capital conservation buffer, the capital rules require community bank holding companies and community banks to maintain a common equity Tier 1 to risk-weighted assets ratio of at least 4.5%, a Tier 1 capital to risk-weighted assets ratio of at least 6.0%, a total capital to risk-weighted assets ratio of at least 8.0%, and a leverage ratio of Tier 1 capital to total consolidated assets of at least 4.0%. The capital conservation buffer, which was phased in ratably over a four-year period beginning January 1, 2016, is designed to absorb losses during periods of economic stress. Banking institutions with a ratio of common equity Tier 1 to risk-weighted assets above the minimum but below the conservation buffer would result in limitations on an institution’s ability to make capital distributions and discretionary bonus payments. In addition, for an insured depository institution to be “well capitalized” under the banking agencies’ “prompt corrective action” framework, it must have a common equity Tier 1 ratio of at least 6.5%, Tier 1 capital ratio of at least 8.0%, a total capital ratio of at least 10.0%, and a leverage ratio of at least 5.0%,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 A capital injection may be required at a time when our resources are limited, and we may be required to borrow the funds or raise capital to make the required capital injection.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risk of noncompliance and enforcement action with the BSA and other anti-money laundering statutes and regulations.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BSA, the USA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laundering 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 and acquisition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vendors and our other ongoing third-party business relationships are subject to increasing regulatory requirements and attention.</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regularly use third-party vendors in our business, and we rely on some of these vendors for critical functions, including, but not limited to, our core processing function. Third-party relationships are subject to increasingly demanding regulatory requirements and attention by bank regulators. We expect our regulators to hold us responsible for deficiencies in our oversight or control of our third-party vendor relationships and in the performance of the parties with which we have these relationships. As a result, if our regulators conclude that we have not exercised adequate oversight and control over our third-party vendors or that such vendors have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performed adequately, we could be subject to administrative penalties or fines as well as requirements for consumer remediation, any of which could have a material adverse effect on our business,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affecting our loans secured by commercial real estate could limit our ability to leverage our capital and adversely affect our growth and profitability.</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acquisition, construction &amp; development loans were 11.1% of our total risk-based capital, and commercial real estate, including owner-occupied loans, were 325.6% of our total risk-based capital. Commercial real estate loans, including acquisition, construction &amp; development and owner-occupied loans, have increased 19.7% during the prior 36 months. We cannot guarantee that any risk management practices we implement will be effective in preventing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evolving expectations from customers, regulators, investors, and other stakeholders with respect to Environmental, Social, and Governance (“ESG”) practices may impose additional costs on us or expose us to new or additional risks.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regulated financial institution listed on a national exchange, we face increased scrutiny from customers, regulators, investors, and other stakeholders related to ESG practices and disclosure. Investor advocacy groups, investment funds, and influential investors are increasingly focused on these practices, especially as they relate to climate risk, hiring practices, the diversity of the work force, and racial and social justice issues. Failure to adapt to or comply with regulatory requirements or investor or stakeholder expectations and standards could negatively impact our reputation, ability to do business with certain customers and business partners, and stock price. New government regulations could also result in new or more stringent forms of ESG oversight and expanding mandatory and voluntary reporting, diligence, and disclosure. ESG-related costs, including costs with respect to compliance with any additional regulatory or disclosure requirements or expectations, could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qualify as an “emerging growth company”, and the reduced disclosures and relief from certain other significant disclosure requirements that are available to emerging growth companies may make our Common Stock less attractive to investors.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federal securities laws, and we intend to take advantage of certain exemptions from various reporting requirements that apply to other public companies that are not emerging growth companies. These exemptions include not being required to comply with the auditor attestation requirements of Section 404 of the Sarbanes-Oxley Act, less extensive disclosure obligations regarding executive compensation in our periodic reports and proxy statements, and exemptions from the requirements to hold non-binding advisory votes on executive compensation and shareholder approval of any golden parachute payments not previously approved. We could remain an emerging growth company until the last day of the fiscal year following the fifth anniversary of the first sale of our common equity securities in an offering registered under the Securities Act, though we may cease to be an emerging growth company earlier, if our gross revenues exceed $1.235 billion, if we issue more than $1.0 billion in non-convertible debt in a three-year period, or if the market value of our Common Stock held by non-affiliates exceeds $700 million as of any June 30 before that time, in which case we would no longer be an emerging growth company as of the following December 31. If our merger with Summit is completed before June 30, 2024, as expected, we anticipate that we would no longer qualify as an emerging growth company.</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Investors and securities analysts may find it more difficult to evaluate our Common Stock because we rely on one or more of these exemptions. If, as a result, some investors find our Common Stock less attractive, there may be a less active trading market for our Common Stock, which could result in reductions and greater volatility in the prices of our Common Stock.</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management attention, which may divert from our business operations.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been subject to the reporting requirements of the Exchange Act and the Sarbanes-Oxley Act since April 2023. As a result, we have undertaken and are required to continue to undertake actions, including the preparation and distribution of periodic reports, proxy statements, and other shareholder communications in compliance with the federal securities laws and rules and complying with Nasdaq Stock Market listing standards and rules.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applicability of these rules and regulations and changes in laws, regulations, and standards relating to corporate governance and public disclosure, which have created uncertainty for public companies, have increased legal and financial compliance costs and made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investment in compliance with existing and evolving regulatory requirements will result in increased administrative expenses that we have not historically incurred. These costs have materially increased and may continue to impact our general and administrative expenses. Furthermore, the need to maintain the corporate infrastructure demanded of a public company may divert management’s attention from implementing our strategic plan, which could prevent us from successfully implementing our growth initiatives and improving our business, results of operations, and financial condition.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an “emerging growth company” as defined in the JOBS Act, we intend to take advantage of certain temporary exemptions from various reporting requirements. When these exemptions cease to apply, we expect to incur additional expenses and devote increased management effort toward ensuring compliance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regarding the reliability of the financial reporting and the preparation of financial statements for external purposes in accordance with U.S. generally accepted accounting principles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could have an adverse effect on our business, financial condition, and results of operations.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Public Company Accounting Oversight Board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and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or engage in other transactions, which could affect the priority of our Common Stock, which may adversely affect the market price of our Common Stock.</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pending merger with Summit, we will issue approximately 7,400,527 shares of Common Stock to Summit shareholders and will issue a new series of serial preferred stock to current holders of Summit preferred stock in exchange for the shares of the Summit preferred stock. Additionally, our Board may determine from time to time, that we need to raise additional capital by issuing additional shares of our Common Stock or other securities. Sales of substantial amounts of our Common Stock (including shares issued in connection with an acquisition), or the perception that such sales could occur, may adversely affect prevailing market prices of our Common Stock. We are not restricted from issuing additional shares of Common Stock, including securities that are convertible into, or exchangeable for, or that represent the right to receive Common Stock. Because our decision to issue securities in any future offering will depend on market conditions and other factors beyond our control, we cannot predict or estimate the amount, timing or nature of any future offerings, or the prices at which such offerings may be effected. Any additional issuance of Common Stock could be dilutive to existing common shareholders. We may also issue, without shareholder approval, shares of preferred stock that will provide investors in such shares with rights, preferences, and privileges that are senior to, and that adversely affect, our then current common shareholders. Additionally, if we raise additional capital by making additional offerings of debt or preferred equity securities, upon liquidation, holders of our debt securities and shares of preferred stock and lenders with respect to other borrowings will receive distributions of our available assets prior to the holders of our Common Stock, which ranks junior to our customer deposits and indebtedness. Additional equity offerings may dilute the holdings of our existing shareholders or reduce the market price of our Common Stock, or both. Holders of our Common Stock are not entitled to preemptive rights or other protections against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Stock is not an insured deposit and is not guaranteed by the FDIC, so you could lose some or all of your investment.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is not a deposit account or other obligation of the Bank and, therefore, is not insured against loss or guaranteed by the FDIC, any other deposit insurance fund, or by any other governmental, public, or private entity. An investment in our Common Stock is inherently risky for the reasons described herein. As a result, if you acquire our Common Stock, you could lose some or all of your investment.</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United States District Court for the Eastern District of Virginia, Alexandria Division, or in the event that court lacks jurisdiction, the Circuit Court of the City of Alexandria, Virginia, will be the sole and exclusive forum for any derivative action or proceeding brought on behalf of us, any action asserting a claim of breach of a fiduciary duty owed by any director, officer, employee, or other agent of ours to us or our shareholders, any action asserting a claim arising pursuant to any provision of the Virginia Stock Corporation Act (“VSCA”) or our Articles of Incorporation or Bylaws, or any action asserting a claim governed by the internal affairs doctrine, including, without limitation, any action to interpret, apply, enforce, or determine the validity of the Articles of Incorporation or Bylaws, in each case subject to such court having personal jurisdiction over the indispensable parties named as defendants in any such action. By its terms, the exclusive forum provision in our bylaws would apply to claims made under the Exchange Act or the Securities Act. However, 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As a result of these provisions, the exclusive forum provisions may not apply to, and there is uncertainty as to whether a court would enforce such exclusive forum provisions with respect to, suits brought to enforce any duty or liability created by the Exchange Act or the Securities Act or any other claim for which the federal and state courts have concurrent jurisdiction, and our stockholders will not be deemed to have waived our compliance with the federal securities laws and the rules and regulations thereunder.</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this provision of our Bylaws. The exclusive forum provision may limit the ability of our shareholders to bring a claim in a judicial forum that such shareholders find favorable for disputes with us or our directors or officers and the provision may increase costs on a shareholder pursuing any claims against us, which may discourage such lawsuits against us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38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Risks Relating to the Consummation of the Merger and Burke &amp; Herbert Following the Merger </w:t>
      </w:r>
      <w:r>
        <w:rPr>
          <w:rFonts w:ascii="Times New Roman" w:cs="Times New Roman" w:eastAsia="Times New Roman" w:hAnsi="Times New Roman"/>
          <w:sz w:val="18"/>
          <w:szCs w:val="18"/>
          <w:b w:val="1"/>
          <w:bCs w:val="1"/>
          <w:i w:val="1"/>
          <w:iCs w:val="1"/>
          <w:color w:val="auto"/>
        </w:rPr>
        <w:t>We expect to incur substantial costs related to the merger and integration.</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and expect to incur a number of non-recurring costs associated with the merger. These costs include legal, financial advisory, accounting, consulting, and other advisory fees, severance/employee benefit-related costs, public company filing fees, and other regulatory fees, financial printing, and other printing costs, and other related costs. Some of these costs are payable regardless of whether the merger is completed.</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also incurred and expect to incur significant, non-recurring costs in connection with negotiating the merger agreement and closing the merger. In addition, the continuing corporation will incur integration costs following the completion of the merger, as we integrate their businesses, including facilities and systems consolidation costs and employment-related costs. Burke &amp; Herbert and Summit may also incur additional costs to maintain employee morale and to retain key employees. There are a large number of processes, policies, procedures, operations, technologies, and systems that may need to be integrated, including purchasing, accounting and finance, payroll, compliance, treasury management, branch operations, vendor management, risk management, lines of business, pricing, and benefits. While Burke &amp; Herbert and Summit have assumed that a certain level of costs will be incurred, there are many factors beyond their control that could affect the total amount or the timing of the integration costs. Moreover, many of the costs that will be incurred are, by their nature, difficult to estimate accurately. These integration costs may result in the continuing corporation taking charges against earnings following the completion of the merger, and the amount and timing of such charges are uncertain at present. There can be no assurances that the expected benefits and efficiencies related to the integration of the businesses will be realized to offset these transaction and integration costs over time. Anticipated future merger and integration-related pre-tax costs are currently estimated to be $57 million.</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Combining Burke &amp; Herbert and Summit may be more difficult, costly, or time-consuming than expected, and Burke &amp; Herbert and Summit may fail to realize the anticipated benefits of the merger.</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merger would combine two financial institutions of relatively similar asset size. The success of the merger will depend, in part, on the ability to realize the anticipated cost savings from combining the businesses of Burke &amp; Herbert and Summit. To realize the anticipated benefits and cost savings from the merger, Burke &amp; Herbert and Summit must successfully integrate and combine their businesses in a manner that permits those cost savings to be realized without adversely affecting current revenues and future growth. If Burke &amp; Herbert and Summit are not able to successfully achieve these objectives, the anticipated benefits of the merger may not be realized fully, or at all, or may take longer to realize than expected. In addition, the actual cost savings of the merger could be less than anticipated, and integration may result in additional and unforeseen expenses.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levels of expenses, and operating results of the continuing corporation following the completion of the merger, which may adversely affect the value of the common stock of the continuing corporation following the completion of the merger.</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Burke &amp; Herbert and Summit have operated and, until the completion of the merger, must continue to operate, independently. It is possible that the integration process could result in the loss of key employees, the disruption of each company’s ongoing businesses, or inconsistencies in standards, controls, procedures, and policies that adversely affect the companies’ ability to maintain relationships with clients, customers, depositors, and employees or to achieve the anticipated benefits and cost savings of the merger. Integration efforts between the two companies may also divert management attention and resources. These integration matters could have an adverse effect on each of Burke &amp; Herbert and Summit during this transition period and for an undetermined period after completion of the merger on the continuing corporation.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Furthermore, the board of directors of the continuing corporation will consist of former directors from each of Burke &amp; Herbert and Summit.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Combining the boards of directors of each company into a single board could require the reconciliation of differing priorities and philosophies.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following the merger may suffer if we do not effectively manage our expanded operations, including complying with any enhanced regulatory requirements.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merger, the size of our business will increase beyond the current size of either Burke &amp; Herbert’s or Summit’s business. Our success as the continuing corporation will depend, in part, upon our ability to manage this expanded business, which may pose challenges for management, including challenges related to the management and monitoring of new operations and associated increased costs and complexity. There can be no assurances that the continuing corporation will be successful or that it will realize the expected operating efficiencies, revenue enhancement, or other benefits currently anticipated from the merger.</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continuing corporation may also face increased scrutiny from governmental authorities as a result of the increased size of its business, including if the total assets of the continuing corporation grow to exceed $10 billion as of December 31 of any calendar year. Banks with $10 billion or more in total assets are, among other things: examined directly by the CFPB with respect to various federal consumer financial laws; subject to reduced dividends on any holdings of Federal Reserve Bank of Richmond common stock; subject to limits on interchange fees pursuant to the Durbin amendment to the Dodd-Frank Act; subject to certain enhanced prudential standards; no longer treated as a “small institution” for FDIC deposit insurance assessment purposes; and no longer eligible to elect to be subject to the “community bank leverage ratio”. Compliance with these additional ongoing requirements may necessitate additional personnel, the design and implementation of additional internal controls, and the incurrence of significant expenses, which could have a significant adverse effect on Burke &amp; Herbert’s financial condition or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corporation may be unable to retain Burke &amp; Herbert and/or Summit personnel successfully after the merger is completed.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success of the merger will depend, in part, on our ability to retain the talents and dedication of key employees currently employed by Burke &amp; Herbert and Summit. It is possible that these employees may decide not to remain with Burke &amp; Herbert or Summit, as applicable, while the merger is pending or with the continuing corporation after the merger is consummated. If Burke &amp; Herbert and Summit are unable to retain key employees, including management, who are critical to the successful integration and future operations of the companies, Burke &amp; Herbert and Summit could face disruptions in their operations, loss of existing customers, loss of key information, expertise, or know-how, and unanticipated additional recruitment costs. In addition, following the merger, if key employees terminate their employment, the continuing corporation’s business activities may be adversely affected, and management’s attention may be diverted from successfully hiring suitable replacements, all of which may cause the continuing corporation’s business to suffer. Burke &amp; Herbert and Summit also may not be able to locate or retain suitable replacements for any key employees who leave either company.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necessary for the merger to close may not be received, may take longer than expected, or may impose conditions that are not presently anticipated or that could have an adverse effect on the continuing corporation following the merger.</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Before the merger and the bank merger may be completed, various approvals and consents must be obtained from the Federal Reserve Board (unless a waiver is granted), the FDIC, the VBFI, the West Virginia Division of Financial Institutions (the “WVDFI”), and other regulatory authorities in the United States. In determining whether to grant these approvals, such regulatory authorities consider a variety of factors, including the regulatory standing of each party and other considerations. These approvals could be delayed or not obtained at all, including due to an adverse development in either party’s regulatory standing or in any other factors considered by regulators when granting such approvals; governmental, political, or community group inquiries, investigations, or opposition; or changes in legislation or the political environment, generally.</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approvals granted may impose terms and conditions, limitations, obligations, or costs, or place restrictions on the conduct of the continuing corporation’s business or require changes to the terms of the transactions contemplated by the merger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imposing additional material costs on or materially limiting the revenues of the continuing corporation following the merger, or otherwise reduce the anticipated benefits of the merger if the merger were consummated successfully within the expected timeframe. In addition, there can be no assurance that any such conditions, terms, obligations, or restrictions will not result in the delay or abandonment of the merger. The completion of the merger is conditioned on the receipt of the requisite regulatory approvals and the expiration of all statutory waiting periods without the imposition of any material burdensome regulatory condition. Additionally, the completion of the merger is conditioned on the absence of certain orders, injunctions, or decrees by any court or governmental entity of competent jurisdiction that would prohibit or make illegal the completion of any of the transactions contemplated by the merger agreement.</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despite the parties’ commitments to using their reasonable best efforts to comply with conditions imposed by regulators, under the terms of the merger agreement, neither Burke &amp; Herbert nor Summit, nor any of their respective subsidiaries, is permitted (without the written consent of the other party), to take any action, or commit to take any action, or agree to any condition or restriction, in connection with obtaining the required permits, consents, approvals, and authorizations of governmental entities or regulatory agencies that would reasonably be expected to have a material adverse effect on the continuing corporation and its subsidiaries, taken as a whole, after giving effect to the merger and the bank merger.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may be terminated in accordance with its terms and the merger may not be completed.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merger agreement is subject to a number of conditions which must be fulfilled in order to complete the merger. Those conditions include, among others: (i) authorization for listing on Nasdaq of the shares of Burke &amp; Herbert common stock to be issued in the merger, subject to official notice of issuance; (ii) the receipt of the requisite regulatory approvals, including the approval of the Federal Reserve Board (unless a waiver is granted), the FDIC, the VBFI and the WVDFI; and (iii) the absence of any order, injunction, decree, or other legal restraint preventing the completion of the merger, the bank merger, or any of the other transactions contemplated by the merger agreement or making the completion of the merger, the bank merger, or any of the other transactions contemplated by the merger agreement illegal. Each party’s obligation to complete the merger is also subject to certain additional customary conditions, including (a) subject to applicable materiality standards, the accuracy of the representations, and warranties of the other party, (b) the performance in all material respects by the other party of its obligations under the merger agreement, and (c) the receipt by each party of an opinion from its counsel to the effect that the merger will qualify as a reorganization within the meaning of Section 368(a) of the Code.</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certain conditions to the merger have been achieved to date, including the requisite approval of Burke &amp; Herbert and Summit shareholders, the remaining conditions to the closing may not be fulfilled in a timely manner or at all, and, accordingly, the merger may not be completed. In addition, the parties can mutually decide to terminate the merger agreement at any time or Burke &amp; Herbert or Summit may elect to terminate the merger agreement in certain other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us.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merger is not completed for any reason, there may be various adverse consequences and we may experience negative reactions from the financial markets and from their respective customers and employees. For example, our business may have been impacted adversely by the failure to pursue other beneficial opportunities due to the focus of management on the merger without realizing any of the anticipated benefits of completing the merger. Additionally, if the merger agreement is terminated, the market price of our common stock could decline to the extent that current market prices reflect a market assumption that the merger will be beneficial and will be completed. We also could be subject to litigation related to any failure to complete the merger or to proceedings commenced against Burke &amp; Herbert or Summit to perform their respective obligations under the merger agreement. If the merger agreement is terminated under certain circumstances, either Burke &amp; Herbert or Summit may be required to pay a termination fee of $14.86 million to the other party.</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we have incurred and will continue to incur substantial expenses in connection with the negotiation and completion of the transactions contemplated by the merger agreement. If the merger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Burke &amp; Herbert and Summit will have paid these expenses without realizing the expected benefits of the merger.</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 we will assume Summit’s outstanding debt obligations, and our level of indebtedness following the completion of the merger could adversely affect our ability to raise additional capital and to meet our obligations under our existing indebtedness.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we will assume Summit’s outstanding indebtedness. Our existing debt, together with any future incurrence of additional indebtedness, and the assumption of Summit’s outstanding indebtedness could have important consequences for the continuing corporation’s creditors and the continuing corporation’s shareholders. For example, it could:</w:t>
      </w:r>
    </w:p>
    <w:p>
      <w:pPr>
        <w:spacing w:after="0" w:line="122"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continuing corporation’s ability to obtain additional financing for working capital, capital expenditures, debt service requirements, acquisitions, and general corporate or other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continuing corporation from making strategic acquisitions or cause the continuing corporation to make non-strategic divestitures;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continuing corporation from paying dividends to its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continuing corporation’s vulnerability to general economic and industry conditions; and</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substantial portion of cash flow from operations to be dedicated to the payment of principal and interest on the continuing corporation’s indebtedness, thereby reducing the continuing corporation’s ability to use cash flows to fund its operations, capital expenditures, and future business opportunities.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business uncertainties and contractual restrictions while the merger is pending.</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Uncertainty about the effect of the merger on employees and customers may have an adverse effect on us. These uncertainties may impair our ability to attract, retain, and motivate key personnel until the merger is completed, and could cause customers and others that deal with us to seek to change existing business relationships. In addition, subject to certain exceptions, Burke &amp; Herbert and Summit have each agreed to operate its business in the ordinary course in all material respects and to refrain from taking certain actions that may adversely affect its ability to consummate the transactions contemplated by the merger agreement on a timely basis without the consent of the other party. These restrictions may prevent us from pursuing attractive business opportunities that may arise prior to the completion of the merger.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elevated interest rate environment may adversely impact the fair value adjustments of investments and loans acquired in the merger.</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closing of the merger, the continuing corporation will need to adjust the fair value of Summit’s investment and loan portfolios. The elevated interest rate environment could have the effect of increasing the magnitude of the purchase accounting marks relating to such fair value adjustments, thereby increasing initial tangible book value dilution, extending the tangible book value earn-back period, and negatively impacting the continuing corporation’s capital ratios, which may result in the continuing corporation taking steps to strengthen its capital position.</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shareholders will have reduced ownership and voting interest in the continuing corporation after the consummation of the merger and will exercise less influence over management.</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shareholders currently have the right to vote in the election of the board of directors and on other matters affecting Burke &amp; Herbert and Summit, respectively. When the merger is completed, each Burke &amp; Herbert shareholder and each Summit shareholder will become a holder of our common stock with a percentage ownership of the continuing corporation that is smaller than the holder’s percentage ownership of either Burke &amp; Herbert or Summit individually, as applicable, prior to the consummation of the merger. Based on the number of shares of Burke &amp; Herbert common stock and Summit common stock outstanding as of the close of business on the respective record dates, and based on the number of shares of Burke &amp; Herbert common stock expected to be issued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merger, the former Summit shareholders, as a group, are estimated to own approximately 50% of the outstanding shares of the continuing corporation immediately after the merger and current Burke &amp; Herbert shareholders as a group are estimated to own approximately 50% of the outstanding shares of the continuing corporation immediately after the merger. Because of this, our shareholders may have less influence on the management and policies of the continuing corporation than they now have on the management and policies of Burke &amp; Herbert.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bank regulatory agencies have adopted guidelines for establishing information security standards and cybersecurity programs for implementing safeguards under the supervision of a financial institution’s board of directors. These guidelines, along with related regulatory materials, increasingly focus on risk management and processes related to information technology and the use of third parties in the provision of financial products and services. The federal bank regulatory agencies expect financial institutions to establish lines of defense and to ensure that their risk management processes address the risk posed by compromised customer credentials, and also expect financial institutions to maintain sufficient business continuity planning processes to ensure rapid recovery, resumption, and maintenance of the institution’s operations after a cyberattack. If the Company or the Bank fails to meet the expectations set forth in this regulatory guidance, the Company or the Bank could be subject to various regulatory actions and any remediation efforts may require significant resources of the Company or the Bank.</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18, 2021, the federal bank regulatory agencies issued a final rule, with compliance required as of May 1, 2022, imposing new notification requirements for cybersecurity incidents. The rule requires financial institutions to notify their primary federal regulator as soon as possible and no later than 36 hours after the institution determines that a cybersecurity incident has occurred that has materially disrupted or degraded, or is reasonably likely to materially disrupt or degrade, the institution’s: (i) ability to carry out banking operations, activities, or processes, or deliver banking products and services to a material portion of its customer base, in the ordinary course of business, (ii) business line(s), including associated operations, services, functions, and support, that upon failure would result in a material loss of revenue, profit, or franchise value, or (iii) operations, including associated services, functions and support, as applicable, the failure or discontinuance of which would pose a threat to the financial stability of the United States. To date, we have not experienced a material cyber-attack that would require such reporting, though there can be no guarantee that such will not occur in the future, and any such attack could have a negative effect on our business and results of operations.</w:t>
      </w:r>
    </w:p>
    <w:p>
      <w:pPr>
        <w:spacing w:after="0" w:line="13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Cybersecurity risk is a key factor in assessing the Company’s overall operational and regulatory risk and is a component of our overall information security protocols. The Company maintains a formal information security management program designed, in part, to identify risks to sensitive information, protect that information, detect threats and events, and maintain an appropriate response and recovery capability to help ensure resilience against information security incidents. The program includes, among other things, 24/7 monitoring of all critical infrastructure, active threat hunting, and endpoint Extended Detection and Response (“XDR”) capabilities, to assist with prevention of attacks from advanced adversaries. This monitoring and response is reinforced with regular vulnerability scanning/remediation and penetration testing and includes an annual risk assessment that looks to threats on the Company’s own information technology platforms, and also assesses potential threats, owing to our use of third-party information technology platforms and services. As part of these processes, we engage well-established and professional third-party information security consultants to aid in the assessment and development of our monitoring and threat-detection processes and work with our internal teams. All employees receive security training upon hiring, annual refresher training for all employees, and phishing exercises to raise employee awareness. Information security protocols are a part of the Company’s Information Security Policy that is reviewed and approved annually by the Company’s Board. The ongoing oversight of cybersecurity risk is accomplished primarily through the Information Technology Steering Committee, comprised of management, the Regulatory Risk Committee, and the Enterprise Risk Management Committee, both comprised of management and members of the Board. Through these committees the Company keeps abreast of significant matters of actual, threatened, or potential breaches of cybersecurity protocols, monitors the effectiveness of the information security program through regular review of key metrics and assessment reports, discusses topical events requiring consideration, and if necessary, recommends changes to the Information Security Policy for approval by the Company’s Board, which retains the ultimate responsibility for overseeing our enterprise risk management, including cybersecurity. In addition to regular reports from these committees, the Board receives regular reports from management on material cybersecurity risks and the Company's efforts to combat threats to its digital infrastructure. The Company also maintains specific cyber insurance through its corporate insurance program, the adequacy of which is subject to review and oversight by the Company’s Board. With the increase in cyber-threat vectors and enhanced focus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cybersecurity, the Company and the Bank continue to monitor legislative, regulatory, and supervisory developments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headquartered in Alexandria, Virginia, and conducts business through its headquarters, corporate center, and operational offices, twenty-three full-service bank branches, and four loan production offices. We own fourteen of our twenty-three full-service branches. The Company owns its principal executive office at 100 S. Fairfax Street, Alexandria, VA, and its corporate center located at 5680 King Centre Drive in Alexandria, Virginia.</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own or lease other premises for use in conducting our business activities, including bank branches, an operations center, and offices in Alexandria, Annandale, Arlington, Ashburn, Burke, Centreville, Falls Church, Fredericksburg, Manassas, McLean, Loudoun County, Richmond, Springfield, Vienna, Woodbridge Counties, VA, and in Bethesda, MD. We believe that our current facilities and planned relocation are adequate to meet our present and foreseeable needs, subject to possible future expansion. For each property that we lease, we believe that upon expiration of the lease we will be able to extend the lease on satisfactory terms or relocate to another acceptable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claims and lawsuits. Currently, we are not party to any material legal proceedings, and no such proceedings are, to management’s knowledge, threatened against us. Although the ultimate outcome of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Common Stock of the Company is listed on the Nasdaq Capital Market under the symbol “BHRB”. As of March 21, 2024, the Company had 7,440,025 shares of Common Stock outstanding and there were 207 holders of record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no restrictions in the Company’s corporate articles on its ability to pay dividends. The Company has historically paid cash dividends to its shareholders and expects to pay comparable dividends in the future. On January 26, 2024, the Company announced a cash dividend of $0.53 per share on the Company’s outstanding Common Stock, payable on March 1, 2024, to shareholders of record as of February 15, 2024.</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Holders of our Common Stock are only entitled to receive dividends when, as, and if declared by the Board out of funds legally available for dividends. As the Company is a financial holding company and does not engage directly in business activities of a material nature, its ability to pay dividends depends, in large part, upon the receipt of dividends from the Bank. Any future determination relating to our dividend policy will be made by the Board and will depend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the Company to its shareholders or by the Bank, and such other factors as the Board may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repurchases of our common stock during the three months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return of Burke &amp; Herbert’s common stock assuming reinvestment of dividends, with that of the NASDAQ Composite Total Return Index and the Keefe, Bruyette &amp; Woods Regional Banking Total Return Index for the five-year period, ending December 31, 2023.</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cumulative total shareholder return assumes a $100 investment, on December 31, 2018, in the common stock of the Company, and each index and the cumulative return is measured as of each subsequent fiscal year-end. There is no assurance that the Company’s common stock performance will continue in the future with the same or similar trends as depicted in the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1011555</wp:posOffset>
            </wp:positionV>
            <wp:extent cx="5254625" cy="3257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4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Burke &amp; Herbert Financial Services Corp.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w:t>
            </w: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Total Return Index</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236.15</w:t>
            </w:r>
          </w:p>
        </w:tc>
      </w:tr>
      <w:tr>
        <w:trPr>
          <w:trHeight w:val="176"/>
        </w:trPr>
        <w:tc>
          <w:tcPr>
            <w:tcW w:w="3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Keefe, Bruyette &amp; Woods Regional Banking</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Return Index</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r>
    </w:tbl>
    <w:p>
      <w:pPr>
        <w:spacing w:after="0" w:line="200" w:lineRule="exact"/>
        <w:rPr>
          <w:sz w:val="20"/>
          <w:szCs w:val="20"/>
          <w:color w:val="auto"/>
        </w:rPr>
      </w:pPr>
    </w:p>
    <w:p>
      <w:pPr>
        <w:spacing w:after="0" w:line="26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Stock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Burke &amp; Herbert specifically incorporates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our consolidated financial statements and notes thereto presented in </w:t>
      </w:r>
      <w:r>
        <w:rPr>
          <w:rFonts w:ascii="Times New Roman" w:cs="Times New Roman" w:eastAsia="Times New Roman" w:hAnsi="Times New Roman"/>
          <w:sz w:val="18"/>
          <w:szCs w:val="18"/>
          <w:u w:val="single" w:color="auto"/>
          <w:color w:val="0000FF"/>
        </w:rPr>
        <w:t>Item 8. Financial Statements and Supplementary Data</w:t>
      </w:r>
      <w:r>
        <w:rPr>
          <w:rFonts w:ascii="Times New Roman" w:cs="Times New Roman" w:eastAsia="Times New Roman" w:hAnsi="Times New Roman"/>
          <w:sz w:val="18"/>
          <w:szCs w:val="18"/>
          <w:color w:val="auto"/>
        </w:rPr>
        <w:t>.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made, and will continue to make, various forward-looking statements with respect to financial and business matters. Comments regarding our business that are not historical facts are considered forward-looking statements that involve inherent risks and uncertainties, see </w:t>
      </w:r>
      <w:r>
        <w:rPr>
          <w:rFonts w:ascii="Times New Roman" w:cs="Times New Roman" w:eastAsia="Times New Roman" w:hAnsi="Times New Roman"/>
          <w:sz w:val="18"/>
          <w:szCs w:val="18"/>
          <w:u w:val="single" w:color="auto"/>
          <w:color w:val="0000FF"/>
        </w:rPr>
        <w:t>Disclosure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Forward-Looking Statements</w:t>
      </w:r>
      <w:r>
        <w:rPr>
          <w:rFonts w:ascii="Times New Roman" w:cs="Times New Roman" w:eastAsia="Times New Roman" w:hAnsi="Times New Roman"/>
          <w:sz w:val="18"/>
          <w:szCs w:val="18"/>
          <w:color w:val="000000"/>
        </w:rPr>
        <w:t>. Actual results may differ materially from those contained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on September 14, 2022, to serve as the holding company for the Bank.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In September 2023, the Company elected financial holding company status. As a financial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FDIC and the Virginia BFI.</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Bank offers a full range of business and personal financial solutions designed to meet customers’ banking, borrowing, and investment needs and has over 20 branches throughout the Northern Virginia region and commercial loan offices in Fredericksburg, Loudoun County, and Richmond, Virginia, and in Bethesda, Maryland.</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allowance for credit loss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total consolidated assets of $3.6 billion, gross loans of $2.1 billion, total deposits of $3.0 billion, and total shareholders’ equity of $314.8 million. As of December 31, 2023, we had 400 full-time employees. None of our employees are covered by a collective bargaining agreement.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Summit Financial Group, Inc.</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24, 2023, the Company and Summit Financial Group, Inc., entered into a merger agreement pursuant to which Summit will merge with and into Burke &amp; Herbert, with Burke &amp; Herbert as the continuing corporation. Immediately following the merger, Summit Community Bank, Inc., a West Virginia banking corporation and a wholly-owned direct subsidiary of Summit, will merge with and into the Bank, with the Bank as the continuing bank. In the merger, Summit shareholders will receive 0.5043 shares of Burke &amp; Herbert common stock for each share of Summit common stock they own (the “exchange ratio”), subject to the payment of cash in lieu of fractional shares. In addition, each share of Summit series 2021 preferred stock issued and outstanding immediately prior to the effective time of the merger will be converted into the right to receive one share of a newly created series of Burke &amp; Herbert preferred stock having rights, preferences, privileges, and voting powers, and limitations, and restrictions, thereof, that are not materially less or more favorable to the holders of the Summit series 2021 preferred stock.</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6, 2023, the Company and Summit, Inc. announced that at special meetings of their respective shareholders held on December 6, 2023, Burke &amp; Herbert and Summit shareholders each approved the merger of Summit with and into Burke &amp; Herbert, pursuant to the merger agreement. The merger is expected to close in the second quarter of 2024, subject to regulatory approvals and certain other customary closing conditions. The impact of this transaction, where material, is discussed in the applicable sections of this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the determination of the allowance for credit losses and income taxes to be the accounting areas that require the most subjective or complex judgments, and as such, could be most subject to revision as new information becomes available.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 supportable,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 values, or other relevant factors. The model methodology used for funded credits, along with taking into consideration the probability of drawdowns or funding om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weighted average remaining maturity (“WARM”) method within defined-contractual terms by federal call codes. The model forecasts net charge-off rates by call codes using ordinary least 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period of two years with a subsequent straight-line loss-rate reversion for the following four quarters before then utilizing historical average loss rates in remaining periods of the modeled contractual terms. Based on management’s analysis, adjustments may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 (iii) underwriting and delinquency trends. The qualitative factors applied at December 31, 2023,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 qualitative factors. However, qualitative factor evaluations are inherently imprecise and require significant management judgement.</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for more discussion of the qualitative factors along with information on the allowance for credit losses for the off-balance sheet credit exposures.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w:t>
      </w:r>
      <w:r>
        <w:rPr>
          <w:rFonts w:ascii="Times New Roman" w:cs="Times New Roman" w:eastAsia="Times New Roman" w:hAnsi="Times New Roman"/>
          <w:sz w:val="18"/>
          <w:szCs w:val="18"/>
          <w:u w:val="single" w:color="auto"/>
          <w:color w:val="0000FF"/>
        </w:rPr>
        <w:t>Note 8 — Income Taxes</w:t>
      </w:r>
      <w:r>
        <w:rPr>
          <w:rFonts w:ascii="Times New Roman" w:cs="Times New Roman" w:eastAsia="Times New Roman" w:hAnsi="Times New Roman"/>
          <w:sz w:val="18"/>
          <w:szCs w:val="18"/>
          <w:color w:val="auto"/>
        </w:rPr>
        <w:t>, in Notes to the December 31, 2023 Consolidated Financial Statements of the Company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Environment in the Financial Services Industry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Concerns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commercial real estate (“CRE”) sector has been impacted significantly by rising interest rates and higher vacancies, increasing the prospect of default that borrowers may face due to the record amount of upcoming maturities. In addition, the office market continues to struggle with fewer employees in the office after the COVID-19 pandemic. The Bank continues to monitor its commercial real estate portfolio by reviewing various credit risk and concentration reports. The Bank’s exposure to commercial real estate at December 31, 2023, was $1.3 billion or 62.7% of its gross loan portfolio, not including owner-occupied commercial real estate and acquisition, construction &amp; development. Commercial real estate as a percent of total assets at December 31, 2023, was 36.2%, not including owner-occupied commercial real estate and acquisition, construction &amp; development. Including owner-occupied commercial real estate and acquisition, construction &amp; development, total exposure was $1.5 billion or 71.4% of our total gross loans and 41.2% of total assets at December 31, 2023.</w:t>
      </w:r>
    </w:p>
    <w:p>
      <w:pPr>
        <w:spacing w:after="0" w:line="1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December 31,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5"/>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1,309,084</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62.7 %</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527,980</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25.3</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2,087,756</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of directors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 The tables below present the Bank’s commercial real estate, owner-occupied commercial real estate, and acquisition, construction &amp; development portfolios by collateral type and geographic location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440" w:type="dxa"/>
            <w:vAlign w:val="bottom"/>
            <w:tcBorders>
              <w:bottom w:val="single" w:sz="8" w:color="auto"/>
            </w:tcBorders>
          </w:tcPr>
          <w:p>
            <w:pPr>
              <w:spacing w:after="0"/>
              <w:rPr>
                <w:sz w:val="18"/>
                <w:szCs w:val="18"/>
                <w:color w:val="auto"/>
              </w:rPr>
            </w:pPr>
          </w:p>
        </w:tc>
      </w:tr>
      <w:tr>
        <w:trPr>
          <w:trHeight w:val="211"/>
        </w:trPr>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MD</w:t>
            </w:r>
          </w:p>
        </w:tc>
        <w:tc>
          <w:tcPr>
            <w:tcW w:w="3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189,214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339,783</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213,616</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187,000</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143,771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59,685</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38,216</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69,129</w:t>
            </w:r>
          </w:p>
        </w:tc>
        <w:tc>
          <w:tcPr>
            <w:tcW w:w="8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r>
      <w:tr>
        <w:trPr>
          <w:trHeight w:val="20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256,624</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214,855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1,309,084</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gridSpan w:val="15"/>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r>
      <w:tr>
        <w:trPr>
          <w:trHeight w:val="211"/>
        </w:trPr>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8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MD</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45,704</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34.8 %</w:t>
            </w: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22,206</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16.9</w:t>
            </w: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Churches/Religious Organizations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10,435</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14,826</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119,577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131,381</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gridSpan w:val="15"/>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r>
      <w:tr>
        <w:trPr>
          <w:trHeight w:val="211"/>
        </w:trPr>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MD</w:t>
            </w:r>
          </w:p>
        </w:tc>
        <w:tc>
          <w:tcPr>
            <w:tcW w:w="3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45.5 %</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11,335</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12,485</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49,091</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2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all acquisition, construction &amp; development loans. For each loan, management reviews the adequacy of the construction budget, adequacy of the interest reserve, pace of construction, and review of any loan covenants.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Bank believes its underwriting and monitoring standards for commercial real estate loans are sufficient to evaluate its loan portfolio and keep it from incurring significant losses. The majority of the Bank’s commercial real estate loans are in Virginia (approximately 63.8%) and within the Greater Washington, DC MSA area, and it does not have significant exposure to any economic areas of the country that are underperforming the national economy. Additionally, the Bank’s overall exposure to the “Office” collateral type is 14.0%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Item 1A, under the caption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Banking Failures and Ensuing Liquidity Concerns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response to the bank failures that occurred during March and May 2023 and the attendant stress on economic agents, including various financial markets, the Company took multiple proactive measures to mitigate any potential financial and operational impacts. Such measures included, but were not limited to:</w:t>
      </w:r>
    </w:p>
    <w:p>
      <w:pPr>
        <w:spacing w:after="0" w:line="122"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dissemination of internal communication to inform the Board and employees of current events and the Company’s condition and desired market response;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available liquidity 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analysis of our deposit composition and deposit concentrations;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our investment securities portfolio;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stress testing of liquidity and capital metrics based on observed financial conditions with particular emphasis on the causes of such risk events.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further discussion see </w:t>
      </w:r>
      <w:r>
        <w:rPr>
          <w:rFonts w:ascii="Times New Roman" w:cs="Times New Roman" w:eastAsia="Times New Roman" w:hAnsi="Times New Roman"/>
          <w:sz w:val="18"/>
          <w:szCs w:val="18"/>
          <w:u w:val="single" w:color="auto"/>
          <w:color w:val="0000FF"/>
        </w:rPr>
        <w:t>Item 1A, under the caption “Risk Factors”</w:t>
      </w:r>
      <w:r>
        <w:rPr>
          <w:rFonts w:ascii="Times New Roman" w:cs="Times New Roman" w:eastAsia="Times New Roman" w:hAnsi="Times New Roman"/>
          <w:sz w:val="18"/>
          <w:szCs w:val="18"/>
          <w:color w:val="auto"/>
        </w:rPr>
        <w:t xml:space="preserve">. The measures taken followed meetings convened by a subcommittee provided for in our Asset/Liability policy more fully described in </w:t>
      </w:r>
      <w:r>
        <w:rPr>
          <w:rFonts w:ascii="Times New Roman" w:cs="Times New Roman" w:eastAsia="Times New Roman" w:hAnsi="Times New Roman"/>
          <w:sz w:val="18"/>
          <w:szCs w:val="18"/>
          <w:u w:val="single" w:color="auto"/>
          <w:color w:val="0000FF"/>
        </w:rPr>
        <w:t>Item 7A. — Quantitative and Qualitative Disclosures About Market Risk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credit losses. Results of the stress tests indicated capital levels that remained above the well capitalized regulatory ratios and liquidity metrics remained within internal policy guidelines. For additional information related to capital, see Notes to the Consolidated Financial Statements – </w:t>
      </w:r>
      <w:r>
        <w:rPr>
          <w:rFonts w:ascii="Times New Roman" w:cs="Times New Roman" w:eastAsia="Times New Roman" w:hAnsi="Times New Roman"/>
          <w:sz w:val="18"/>
          <w:szCs w:val="18"/>
          <w:u w:val="single" w:color="auto"/>
          <w:color w:val="0000FF"/>
        </w:rPr>
        <w:t>Note 12 — Regulatory Capital Matters</w:t>
      </w:r>
      <w:r>
        <w:rPr>
          <w:rFonts w:ascii="Times New Roman" w:cs="Times New Roman" w:eastAsia="Times New Roman" w:hAnsi="Times New Roman"/>
          <w:sz w:val="18"/>
          <w:szCs w:val="18"/>
          <w:color w:val="auto"/>
        </w:rPr>
        <w:t>. The Company intends to continue conducting such stress tests on a periodic basis.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act as potential sources of liquidity are federal funds sold, securities purchased under agreements to resell, and maturing interest-bearing deposits with other banks.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7 — Advances and Other Borrowings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000000"/>
        </w:rPr>
        <w:t>, in Notes to Consolidated Financial Statements for additional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regarding outstanding balances of sources of liquidity and contractual commitments and obligations.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Applicable Basel III Capital Rules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Company or the Bank.</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As of December 31, 2023, and December 31, 2022, the Bank complied with all regulatory capital standards and qualifies as “well capitalized”. </w:t>
      </w:r>
      <w:r>
        <w:rPr>
          <w:rFonts w:ascii="Times New Roman" w:cs="Times New Roman" w:eastAsia="Times New Roman" w:hAnsi="Times New Roman"/>
          <w:sz w:val="17"/>
          <w:szCs w:val="17"/>
          <w:u w:val="single" w:color="auto"/>
          <w:color w:val="0000FF"/>
        </w:rPr>
        <w:t>Note 12</w:t>
      </w:r>
    </w:p>
    <w:p>
      <w:pPr>
        <w:spacing w:after="0" w:line="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u w:val="single" w:color="auto"/>
          <w:color w:val="0000FF"/>
        </w:rPr>
        <w:t>— 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the Consolidated Financial Statements contains additional discussion and analysis regarding the Company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Bank’s regulatory capital requirements.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171"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strategic objectives, including completing our pending merger with Summit, successfully integrating Summit’s operations, people, and technology with ours, and continuing to efficiently satisfy the obligations associated with being a public company, all of which will require significant resources and management attention and may divert management’s attention from our business operations.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the length and extent of the economic impacts of events affecting the financial services market generally as well as pandemics and political conflicts, and any actions taken to mitigate and manage such impacts,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other trade policies of the U.S. and its global trading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taxes, infrastructure spending, and social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Summit merger will not close when expected, or at all, because required regulatory or other approvals are not received or other conditions to the closing are not satisfied on a timely basis, or at all,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eventually and successfully integrate into our operations Summit’s assets, liabilities, and systems, as well as new management personnel and customers, and our ability to realize related revenue synergies and cost savings within expected time frames and any goodwill charges related thereto.</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impact of these items, where material, is discussed in the applicable sections of this Management’s Discussion and Analysis of Financial Condition and Results of Operations. For additional information on the risks we face, see Item </w:t>
      </w:r>
      <w:r>
        <w:rPr>
          <w:rFonts w:ascii="Times New Roman" w:cs="Times New Roman" w:eastAsia="Times New Roman" w:hAnsi="Times New Roman"/>
          <w:sz w:val="18"/>
          <w:szCs w:val="18"/>
          <w:color w:val="0000FF"/>
        </w:rPr>
        <w:t>1A. — Risk Factors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-48260</wp:posOffset>
            </wp:positionV>
            <wp:extent cx="9423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following table sets forth selected historical consolidated financial information for each of the periods indicated. This information should be read together with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below, and with the accompanying consolidated financial statements included in this Form 10-K. The historical information indicated as of and for the years ended December 31, 2023, December 31, 2022, and December 31, 2021, has been derived from the Company’s audited consolidated financial statements for the years ended December 31, 2023, December 31, 2022, and December 31, 2021. Historical results set forth below and elsewhere in this Form 10-K are not necessarily indicative of future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40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3,617,579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3,562,898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3,621,743</w:t>
            </w: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77,363</w:t>
            </w: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1,248,439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1,371,757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1,605,681</w:t>
            </w: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2,062,455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1,866,182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1,713,364</w:t>
            </w: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92,487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91,062</w:t>
            </w: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36,875</w:t>
            </w: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3,001,881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2,920,400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2,933,417</w:t>
            </w: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Advances and other borrowings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275,000</w:t>
            </w: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314,750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273,453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389,627</w:t>
            </w:r>
          </w:p>
        </w:tc>
      </w:tr>
      <w:tr>
        <w:trPr>
          <w:trHeight w:val="273"/>
        </w:trPr>
        <w:tc>
          <w:tcPr>
            <w:tcW w:w="5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or for the Year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146,896</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112,633</w:t>
            </w:r>
          </w:p>
        </w:tc>
        <w:tc>
          <w:tcPr>
            <w:tcW w:w="10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100,820</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8,941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4,217</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93,759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103,692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96,603</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(1,002)</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17,087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17,251</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86,436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74,414</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25,061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52,299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40,442</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4,277</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44,013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36,165</w:t>
            </w:r>
          </w:p>
        </w:tc>
      </w:tr>
      <w:tr>
        <w:trPr>
          <w:trHeight w:val="273"/>
        </w:trPr>
        <w:tc>
          <w:tcPr>
            <w:tcW w:w="6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7,428,042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7,425,088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7,424,405</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7,506,855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7,467,717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7,430,064</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7,428,710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7,425,760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7,423,760</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4.87</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60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Dividend payout ratio </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(at period end)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b w:val="1"/>
          <w:bCs w:val="1"/>
          <w:color w:val="auto"/>
        </w:rPr>
        <w:t>As of or 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0.63 %</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1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9.35</w:t>
            </w:r>
          </w:p>
        </w:tc>
      </w:tr>
      <w:tr>
        <w:trPr>
          <w:trHeight w:val="216"/>
        </w:trPr>
        <w:tc>
          <w:tcPr>
            <w:tcW w:w="70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(2)</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r>
      <w:tr>
        <w:trPr>
          <w:trHeight w:val="216"/>
        </w:trPr>
        <w:tc>
          <w:tcPr>
            <w:tcW w:w="70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(3)</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r>
      <w:tr>
        <w:trPr>
          <w:trHeight w:val="216"/>
        </w:trPr>
        <w:tc>
          <w:tcPr>
            <w:tcW w:w="70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(4)</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77.37</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62.88</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65.36</w:t>
            </w:r>
          </w:p>
        </w:tc>
      </w:tr>
      <w:tr>
        <w:trPr>
          <w:trHeight w:val="270"/>
        </w:trPr>
        <w:tc>
          <w:tcPr>
            <w:tcW w:w="60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1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8"/>
        </w:trPr>
        <w:tc>
          <w:tcPr>
            <w:tcW w:w="70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Common equity tier 1 (CET 1) capital to risk-weighted assets </w:t>
            </w:r>
            <w:r>
              <w:rPr>
                <w:rFonts w:ascii="Times New Roman" w:cs="Times New Roman" w:eastAsia="Times New Roman" w:hAnsi="Times New Roman"/>
                <w:sz w:val="21"/>
                <w:szCs w:val="21"/>
                <w:color w:val="auto"/>
                <w:vertAlign w:val="superscript"/>
              </w:rPr>
              <w:t>(5)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17.59 %</w:t>
            </w:r>
          </w:p>
        </w:tc>
      </w:tr>
      <w:tr>
        <w:trPr>
          <w:trHeight w:val="216"/>
        </w:trPr>
        <w:tc>
          <w:tcPr>
            <w:tcW w:w="70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Total risk-based capital to risk-weighted assets </w:t>
            </w:r>
            <w:r>
              <w:rPr>
                <w:rFonts w:ascii="Times New Roman" w:cs="Times New Roman" w:eastAsia="Times New Roman" w:hAnsi="Times New Roman"/>
                <w:sz w:val="21"/>
                <w:szCs w:val="21"/>
                <w:color w:val="auto"/>
                <w:vertAlign w:val="superscript"/>
              </w:rPr>
              <w:t>(5)</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18.84</w:t>
            </w:r>
          </w:p>
        </w:tc>
      </w:tr>
      <w:tr>
        <w:trPr>
          <w:trHeight w:val="216"/>
        </w:trPr>
        <w:tc>
          <w:tcPr>
            <w:tcW w:w="70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Tier 1 capital to risk-weighted assets </w:t>
            </w:r>
            <w:r>
              <w:rPr>
                <w:rFonts w:ascii="Times New Roman" w:cs="Times New Roman" w:eastAsia="Times New Roman" w:hAnsi="Times New Roman"/>
                <w:sz w:val="21"/>
                <w:szCs w:val="21"/>
                <w:color w:val="auto"/>
                <w:vertAlign w:val="superscript"/>
              </w:rPr>
              <w:t>(5)</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17.59</w:t>
            </w:r>
          </w:p>
        </w:tc>
      </w:tr>
      <w:tr>
        <w:trPr>
          <w:trHeight w:val="216"/>
        </w:trPr>
        <w:tc>
          <w:tcPr>
            <w:tcW w:w="70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Tier 1 capital to average assets </w:t>
            </w:r>
            <w:r>
              <w:rPr>
                <w:rFonts w:ascii="Times New Roman" w:cs="Times New Roman" w:eastAsia="Times New Roman" w:hAnsi="Times New Roman"/>
                <w:sz w:val="21"/>
                <w:szCs w:val="21"/>
                <w:color w:val="auto"/>
                <w:vertAlign w:val="superscript"/>
              </w:rPr>
              <w:t>(5)</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10.81</w:t>
            </w:r>
          </w:p>
        </w:tc>
      </w:tr>
      <w:tr>
        <w:trPr>
          <w:trHeight w:val="216"/>
        </w:trPr>
        <w:tc>
          <w:tcPr>
            <w:tcW w:w="70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Average equity to average assets </w:t>
            </w:r>
            <w:r>
              <w:rPr>
                <w:rFonts w:ascii="Times New Roman" w:cs="Times New Roman" w:eastAsia="Times New Roman" w:hAnsi="Times New Roman"/>
                <w:sz w:val="21"/>
                <w:szCs w:val="21"/>
                <w:color w:val="auto"/>
                <w:vertAlign w:val="superscript"/>
              </w:rPr>
              <w:t>(5)</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10.93</w:t>
            </w:r>
          </w:p>
        </w:tc>
      </w:tr>
      <w:tr>
        <w:trPr>
          <w:trHeight w:val="270"/>
        </w:trPr>
        <w:tc>
          <w:tcPr>
            <w:tcW w:w="6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1.82 %</w:t>
            </w:r>
          </w:p>
        </w:tc>
      </w:tr>
      <w:tr>
        <w:trPr>
          <w:trHeight w:val="21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5"/>
              </w:rPr>
              <w:t>675.77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382.74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120.75</w:t>
            </w:r>
          </w:p>
        </w:tc>
      </w:tr>
      <w:tr>
        <w:trPr>
          <w:trHeight w:val="21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0.73</w:t>
            </w:r>
          </w:p>
        </w:tc>
      </w:tr>
      <w:tr>
        <w:trPr>
          <w:trHeight w:val="273"/>
        </w:trPr>
        <w:tc>
          <w:tcPr>
            <w:tcW w:w="60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1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8"/>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payout ratio represents per share dividends declared divided by diluted earnings per share.</w:t>
      </w:r>
    </w:p>
    <w:p>
      <w:pPr>
        <w:spacing w:after="0" w:line="93"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2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95"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Capital ratios are for Burke &amp; Herbert Financial Services Corp. in 2023 and 2022 and Burke &amp; Herbert Bank &amp; Trust Company in 2021. See </w:t>
      </w:r>
      <w:r>
        <w:rPr>
          <w:rFonts w:ascii="Times New Roman" w:cs="Times New Roman" w:eastAsia="Times New Roman" w:hAnsi="Times New Roman"/>
          <w:sz w:val="14"/>
          <w:szCs w:val="14"/>
          <w:u w:val="single" w:color="auto"/>
          <w:color w:val="0000FF"/>
        </w:rPr>
        <w:t>Note 12 — Regulatory Capital Matters</w:t>
      </w:r>
      <w:r>
        <w:rPr>
          <w:rFonts w:ascii="Times New Roman" w:cs="Times New Roman" w:eastAsia="Times New Roman" w:hAnsi="Times New Roman"/>
          <w:sz w:val="14"/>
          <w:szCs w:val="14"/>
          <w:color w:val="auto"/>
        </w:rPr>
        <w:t xml:space="preserve"> in Notes to the December 31, 2023 Consolidated Financial Statements of the Company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2023, and December 31, 2022</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net income for the year ended December 31, 2023, was $22.7 million compared to $44.0 million earned during the year ended December 31, 2022. The $21.3 million or 48.4% decrease in net income in 2023 compared to 2022 was primarily due to increased funding costs, Nasdaq listing costs, merger-related costs, and the change in provision for credit losses that included a recapture of the allowance for loan losses in the prior year ended December 31, 2022.</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interest income totaled $93.8 million for the year ended December 31, 2023, compared to $103.7 million for the year ended December 31, 2022. The $9.9 million decrease in net interest income was primarily driven by higher deposit and borrowing interest expense and was partially offset by higher interest income from loan growth as well as increases in interest rates for loans and securities. Savings and time deposits were the primary driver of increased net interest expense due to both volume and rate.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Company recorded credit provision expense of $0.2 million compared to a recapture of provision of $7.5 million for the year ended December 31, 2022. For the year ended December 31, 2022, the Company was able to recapture a provision related to the initial uncertainty of the COVID-19 pandemic and the sale of a non-performing loan note. This non-performing loan had a specific reserve prior to the sale of the note. For the current period, the adoption of CECL (which requires the Company to estimate provision of credit losses using an expected life-time loss approach versus an incurred model), along with increased loan portfolio balances resulted in a higher credit expense for the year ended December 31, 2023, compared to the year ended December 31, 2022.</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Non-interest income increased by $0.9 million, or 5.1%, to $18.0 million for the year ended December 31, 2023, compared to $17.1 million for the year ended December 31, 2022. The increase in non-interest income was primarily due to a $0.5 million increase in other non-interest income, which included an increase in dividend income from FHLB stock, and an increase in fee income from customer swap activity compared to the year ended December 31, 2022. The Company also realized lower losses on the sale of securities resulting in an increase of $0.3 million in net gains/(losses) from securities compared to the year ended December 31, 2022.</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Non-interest expense increased by $10.5 million, or 13.8%, to $86.4 million for the year ended December 31, 2023, compared to $75.9 million for the year ended December 31, 2022. The increase was primarily due an increase in pensions and other employee benefit costs of $1.7 million, costs associated with the listing of our common stock on the Nasdaq stock exchange, including the filing of a Form 10 Registration Statement, costs incurred for the pending merger with Summit, and the sale of corporate buildings that lowered non-interest expense by $4.6 million for the year ended December 31, 2022. For the year ended December 31, 2023, the Company incurred $3.0 million of legal, consulting, and audit fees related to the announced merger with Summit Financial Group, Inc.</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Net Interest Margin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interest income totaled $93.8 million for the year ended December 31, 2023, compared to $103.7 million for the year ended December 31, 2022. The $9.9 million decrease in net interest income was primarily driven by higher deposit and borrowing interest expense and was partially offset by higher interest income from loan growth as well as increases in interest rates for loans and securities. Interest-bearing deposits were the primary driver of increased net interest expense due to both volume and rate. The increase in volume for the interest-bearing deposits was due to the shift from non-interest-bearing deposit accounts to these accounts.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taxable-equivalent net interest margin was 2.85% for the year ended December 31, 2023, compared to 3.19% for the year ended December 31, 2022. The decrease in tax-adjusted net interest margin was primarily driven by the increase in market rates that increased the cost of deposits and other borrowings in excess of the increase in interest income from interest-earning assets.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yield for the year ended December 31, 2023, for the loan portfolio was 5.07% compared to 4.15% for the year ended December 31, 2022. The increase was primarily the result of new loan production in a rising rate environment.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tax-adjusted yield on the total investment securities portfolio was 3.44% compared to 2.71% for the year ended December 31, 2022. The increase was primarily due to higher market interest rates that increased the effective rate earned on investment securities.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rate paid on interest-bearing deposits increased to 1.86% during the year ended December 31, 2023, from 0.19% during the year ended December 31, 2022. The increase was a result of market and economic conditions, which led to an increase in rates paid on selected parts of our deposit portfolio. Increases in deposit rates rose at a faster pace due to the increases in the Federal Funds Rate through 2023.</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rate paid on our borrowings for the year ended December 31, 2023, was 4.69% compared to 1.93% for the year ended December 31, 2022. The increase was due to the increase in short-term borrowing costs, driven by increases in the Federal Funds Rate through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years ended December 31, 2023, and December 31, 2022, for comparison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10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Rate Earned/Paid</w:t>
            </w:r>
          </w:p>
        </w:tc>
        <w:tc>
          <w:tcPr>
            <w:tcW w:w="104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Income/Expense</w:t>
            </w:r>
          </w:p>
        </w:tc>
        <w:tc>
          <w:tcPr>
            <w:tcW w:w="10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188"/>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Loans, gross</w:t>
            </w:r>
            <w:r>
              <w:rPr>
                <w:rFonts w:ascii="Times New Roman" w:cs="Times New Roman" w:eastAsia="Times New Roman" w:hAnsi="Times New Roman"/>
                <w:sz w:val="18"/>
                <w:szCs w:val="18"/>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2,007,030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101,800</w:t>
            </w:r>
          </w:p>
        </w:tc>
        <w:tc>
          <w:tcPr>
            <w:tcW w:w="1660" w:type="dxa"/>
            <w:vAlign w:val="bottom"/>
            <w:gridSpan w:val="4"/>
          </w:tcPr>
          <w:p>
            <w:pPr>
              <w:ind w:left="980"/>
              <w:spacing w:after="0"/>
              <w:rPr>
                <w:sz w:val="20"/>
                <w:szCs w:val="20"/>
                <w:color w:val="auto"/>
              </w:rPr>
            </w:pPr>
            <w:r>
              <w:rPr>
                <w:rFonts w:ascii="Times New Roman" w:cs="Times New Roman" w:eastAsia="Times New Roman" w:hAnsi="Times New Roman"/>
                <w:sz w:val="14"/>
                <w:szCs w:val="14"/>
                <w:color w:val="auto"/>
              </w:rPr>
              <w:t>5.07 %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1,773,883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73,640</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4.15 %</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deposits and fed funds sold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52,002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 securities</w:t>
            </w: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1,020,707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37,179</w:t>
            </w:r>
          </w:p>
        </w:tc>
        <w:tc>
          <w:tcPr>
            <w:tcW w:w="14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29,616</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Tax-exempt securities</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265,608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7,108</w:t>
            </w:r>
          </w:p>
        </w:tc>
        <w:tc>
          <w:tcPr>
            <w:tcW w:w="1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90"/>
        </w:trPr>
        <w:tc>
          <w:tcPr>
            <w:tcW w:w="3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securities</w:t>
            </w:r>
          </w:p>
        </w:tc>
        <w:tc>
          <w:tcPr>
            <w:tcW w:w="1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1,286,315</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44,287</w:t>
            </w:r>
          </w:p>
        </w:tc>
        <w:tc>
          <w:tcPr>
            <w:tcW w:w="100" w:type="dxa"/>
            <w:vAlign w:val="bottom"/>
            <w:tcBorders>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1,510,694</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40,932</w:t>
            </w:r>
          </w:p>
        </w:tc>
        <w:tc>
          <w:tcPr>
            <w:tcW w:w="10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3,345,347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148,389</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3,327,272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115,008</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249,008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234,062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3,594,355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3,561,334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878,740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971,618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 demand</w:t>
            </w: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544,651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4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0.42 %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0.03 %</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Savings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967,306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15,819</w:t>
            </w:r>
          </w:p>
        </w:tc>
        <w:tc>
          <w:tcPr>
            <w:tcW w:w="1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1,116,941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96"/>
        </w:trPr>
        <w:tc>
          <w:tcPr>
            <w:tcW w:w="3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Time</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597,796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21,064</w:t>
            </w:r>
          </w:p>
        </w:tc>
        <w:tc>
          <w:tcPr>
            <w:tcW w:w="14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2,109,753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39,195</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1,991,260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190"/>
        </w:trPr>
        <w:tc>
          <w:tcPr>
            <w:tcW w:w="3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deposits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2,988,493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2,962,878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FHLB advances and other</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297,111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13,942</w:t>
            </w:r>
          </w:p>
        </w:tc>
        <w:tc>
          <w:tcPr>
            <w:tcW w:w="14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2,406,864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53,137</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2,260,836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18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283,802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3,594,355</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3"/>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3,561,334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338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Taxable-equivalent net interest income /net interest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95,252</w:t>
            </w:r>
          </w:p>
        </w:tc>
        <w:tc>
          <w:tcPr>
            <w:tcW w:w="14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2.23 %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106,067</w:t>
            </w:r>
          </w:p>
        </w:tc>
        <w:tc>
          <w:tcPr>
            <w:tcW w:w="13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3.06 %</w:t>
            </w:r>
          </w:p>
        </w:tc>
        <w:tc>
          <w:tcPr>
            <w:tcW w:w="0" w:type="dxa"/>
            <w:vAlign w:val="bottom"/>
          </w:tcPr>
          <w:p>
            <w:pPr>
              <w:spacing w:after="0"/>
              <w:rPr>
                <w:sz w:val="1"/>
                <w:szCs w:val="1"/>
                <w:color w:val="auto"/>
              </w:rPr>
            </w:pPr>
          </w:p>
        </w:tc>
      </w:tr>
      <w:tr>
        <w:trPr>
          <w:trHeight w:val="201"/>
        </w:trPr>
        <w:tc>
          <w:tcPr>
            <w:tcW w:w="338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spread</w:t>
            </w:r>
            <w:r>
              <w:rPr>
                <w:rFonts w:ascii="Times New Roman" w:cs="Times New Roman" w:eastAsia="Times New Roman" w:hAnsi="Times New Roman"/>
                <w:sz w:val="18"/>
                <w:szCs w:val="18"/>
                <w:color w:val="auto"/>
                <w:vertAlign w:val="superscript"/>
              </w:rPr>
              <w:t>(5)</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4"/>
                <w:szCs w:val="14"/>
                <w:color w:val="auto"/>
              </w:rPr>
              <w:t>Taxable-equivalent net interest margin</w:t>
            </w:r>
            <w:r>
              <w:rPr>
                <w:rFonts w:ascii="Times New Roman" w:cs="Times New Roman" w:eastAsia="Times New Roman" w:hAnsi="Times New Roman"/>
                <w:sz w:val="18"/>
                <w:szCs w:val="18"/>
                <w:color w:val="auto"/>
                <w:vertAlign w:val="superscript"/>
              </w:rPr>
              <w:t>(6)</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2.85 %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3.19 %</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Taxable-equivalent net adjustment</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0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103,692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938,483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1,066,436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FHLB Advances and other includes finance lease liabilities.</w:t>
      </w:r>
    </w:p>
    <w:p>
      <w:pPr>
        <w:spacing w:after="0" w:line="14" w:lineRule="exact"/>
        <w:rPr>
          <w:rFonts w:ascii="Times New Roman" w:cs="Times New Roman" w:eastAsia="Times New Roman" w:hAnsi="Times New Roman"/>
          <w:sz w:val="14"/>
          <w:szCs w:val="14"/>
          <w:color w:val="auto"/>
        </w:rPr>
      </w:pPr>
    </w:p>
    <w:p>
      <w:pPr>
        <w:ind w:left="340" w:right="20" w:hanging="332"/>
        <w:spacing w:after="0" w:line="254"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 equivalent weighted-average yield on interest-earning assets and the weighted-average cost of interest-bearing liabilities for the period.</w:t>
      </w: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 equivalent net interest income as a percent of average interest-earning assets for the period.</w:t>
      </w:r>
    </w:p>
    <w:p>
      <w:pPr>
        <w:spacing w:after="0" w:line="1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fully tax-equivalent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 earning assets, whose interest is tax-exempt, to total interest income and then subtracting total interest expense. As a non-GAAP measure, FTE net interest income should not be considered as a substitute for the nearest comparable GAAP measure, net interest income. Net interest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income shown elsewhere in this Form 10-K is GAAP net interest income. The following table reconciles GAAP net interest income to FTE net interest income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180" w:type="dxa"/>
            <w:vAlign w:val="bottom"/>
            <w:tcBorders>
              <w:bottom w:val="single" w:sz="8" w:color="auto"/>
            </w:tcBorders>
          </w:tcPr>
          <w:p>
            <w:pPr>
              <w:spacing w:after="0"/>
              <w:rPr>
                <w:sz w:val="18"/>
                <w:szCs w:val="18"/>
                <w:color w:val="auto"/>
              </w:rPr>
            </w:pPr>
          </w:p>
        </w:tc>
      </w:tr>
      <w:tr>
        <w:trPr>
          <w:trHeight w:val="211"/>
        </w:trPr>
        <w:tc>
          <w:tcPr>
            <w:tcW w:w="7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101,800</w:t>
            </w:r>
          </w:p>
        </w:tc>
        <w:tc>
          <w:tcPr>
            <w:tcW w:w="22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73,640</w:t>
            </w:r>
          </w:p>
        </w:tc>
      </w:tr>
      <w:tr>
        <w:trPr>
          <w:trHeight w:val="219"/>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taxable</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37,179</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29,616</w:t>
            </w:r>
          </w:p>
        </w:tc>
      </w:tr>
      <w:tr>
        <w:trPr>
          <w:trHeight w:val="213"/>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tax-exempt</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8,940</w:t>
            </w:r>
          </w:p>
        </w:tc>
      </w:tr>
      <w:tr>
        <w:trPr>
          <w:trHeight w:val="219"/>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07"/>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Interest Income</w:t>
            </w:r>
          </w:p>
        </w:tc>
        <w:tc>
          <w:tcPr>
            <w:tcW w:w="1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146,896</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112,633</w:t>
            </w:r>
          </w:p>
        </w:tc>
      </w:tr>
      <w:tr>
        <w:trPr>
          <w:trHeight w:val="219"/>
        </w:trPr>
        <w:tc>
          <w:tcPr>
            <w:tcW w:w="7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w:t>
            </w:r>
          </w:p>
        </w:tc>
      </w:tr>
      <w:tr>
        <w:trPr>
          <w:trHeight w:val="219"/>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w:t>
            </w:r>
          </w:p>
        </w:tc>
      </w:tr>
      <w:tr>
        <w:trPr>
          <w:trHeight w:val="213"/>
        </w:trPr>
        <w:tc>
          <w:tcPr>
            <w:tcW w:w="7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53,137</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r>
      <w:tr>
        <w:trPr>
          <w:trHeight w:val="199"/>
        </w:trPr>
        <w:tc>
          <w:tcPr>
            <w:tcW w:w="7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93,759</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103,692</w:t>
            </w:r>
          </w:p>
        </w:tc>
      </w:tr>
      <w:tr>
        <w:trPr>
          <w:trHeight w:val="253"/>
        </w:trPr>
        <w:tc>
          <w:tcPr>
            <w:tcW w:w="7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7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 - Securities</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r>
      <w:tr>
        <w:trPr>
          <w:trHeight w:val="212"/>
        </w:trPr>
        <w:tc>
          <w:tcPr>
            <w:tcW w:w="73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r>
      <w:tr>
        <w:trPr>
          <w:trHeight w:val="207"/>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95,252</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106,067</w:t>
            </w:r>
          </w:p>
        </w:tc>
      </w:tr>
    </w:tbl>
    <w:p>
      <w:pPr>
        <w:spacing w:after="0" w:line="72"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years ended December 31, 2023, and December 31, 2022, are annualized using an actual days over calendar year method. The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gridSpan w:val="7"/>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 2023, Compared to December 31, 2022</w:t>
            </w:r>
          </w:p>
        </w:tc>
      </w:tr>
      <w:tr>
        <w:trPr>
          <w:trHeight w:val="211"/>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6"/>
          </w:tcPr>
          <w:p>
            <w:pPr>
              <w:jc w:val="center"/>
              <w:ind w:left="1159"/>
              <w:spacing w:after="0"/>
              <w:rPr>
                <w:sz w:val="20"/>
                <w:szCs w:val="20"/>
                <w:color w:val="auto"/>
              </w:rPr>
            </w:pPr>
            <w:r>
              <w:rPr>
                <w:rFonts w:ascii="Times New Roman" w:cs="Times New Roman" w:eastAsia="Times New Roman" w:hAnsi="Times New Roman"/>
                <w:sz w:val="16"/>
                <w:szCs w:val="16"/>
                <w:b w:val="1"/>
                <w:bCs w:val="1"/>
                <w:color w:val="auto"/>
              </w:rPr>
              <w:t>Increase (Decrease) Due to Change in:</w:t>
            </w:r>
          </w:p>
        </w:tc>
        <w:tc>
          <w:tcPr>
            <w:tcW w:w="1460" w:type="dxa"/>
            <w:vAlign w:val="bottom"/>
            <w:tcBorders>
              <w:bottom w:val="single" w:sz="8" w:color="auto"/>
            </w:tcBorders>
          </w:tcPr>
          <w:p>
            <w:pPr>
              <w:spacing w:after="0"/>
              <w:rPr>
                <w:sz w:val="18"/>
                <w:szCs w:val="18"/>
                <w:color w:val="auto"/>
              </w:rPr>
            </w:pPr>
          </w:p>
        </w:tc>
      </w:tr>
      <w:tr>
        <w:trPr>
          <w:trHeight w:val="210"/>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260" w:type="dxa"/>
            <w:vAlign w:val="bottom"/>
          </w:tcPr>
          <w:p>
            <w:pPr>
              <w:spacing w:after="0"/>
              <w:rPr>
                <w:sz w:val="18"/>
                <w:szCs w:val="18"/>
                <w:color w:val="auto"/>
              </w:rPr>
            </w:pP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34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5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Loans, gross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11,803</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16,358</w:t>
            </w:r>
          </w:p>
        </w:tc>
        <w:tc>
          <w:tcPr>
            <w:tcW w:w="2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28,161</w:t>
            </w:r>
          </w:p>
        </w:tc>
      </w:tr>
      <w:tr>
        <w:trPr>
          <w:trHeight w:val="219"/>
        </w:trPr>
        <w:tc>
          <w:tcPr>
            <w:tcW w:w="536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(7,725)</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11,080</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r>
      <w:tr>
        <w:trPr>
          <w:trHeight w:val="213"/>
        </w:trPr>
        <w:tc>
          <w:tcPr>
            <w:tcW w:w="5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bearing deposits and fed funds sold</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w:t>
            </w:r>
          </w:p>
        </w:tc>
      </w:tr>
      <w:tr>
        <w:trPr>
          <w:trHeight w:val="212"/>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28,891</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33,381</w:t>
            </w:r>
          </w:p>
        </w:tc>
      </w:tr>
      <w:tr>
        <w:trPr>
          <w:trHeight w:val="19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r>
      <w:tr>
        <w:trPr>
          <w:trHeight w:val="213"/>
        </w:trPr>
        <w:tc>
          <w:tcPr>
            <w:tcW w:w="5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deposits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14,267</w:t>
            </w:r>
          </w:p>
        </w:tc>
      </w:tr>
      <w:tr>
        <w:trPr>
          <w:trHeight w:val="219"/>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19,075</w:t>
            </w:r>
          </w:p>
        </w:tc>
      </w:tr>
      <w:tr>
        <w:trPr>
          <w:trHeight w:val="207"/>
        </w:trPr>
        <w:tc>
          <w:tcPr>
            <w:tcW w:w="5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26,565</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35,452</w:t>
            </w: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8,744</w:t>
            </w:r>
          </w:p>
        </w:tc>
      </w:tr>
      <w:tr>
        <w:trPr>
          <w:trHeight w:val="207"/>
        </w:trPr>
        <w:tc>
          <w:tcPr>
            <w:tcW w:w="5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10,179</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34,017</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44,196</w:t>
            </w:r>
          </w:p>
        </w:tc>
      </w:tr>
      <w:tr>
        <w:trPr>
          <w:trHeight w:val="209"/>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w:t>
            </w:r>
          </w:p>
        </w:tc>
      </w:tr>
    </w:tbl>
    <w:p>
      <w:pPr>
        <w:spacing w:after="0" w:line="72"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securities have been computed on a taxable-equivalent basis.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interest income was $146.9 million for the year ended December 31, 2023, compared to $112.6 million for the year ended December 31, 2022, an increase of 30.4%. The increase in interest income was primarily driven by increased loan balances and higher rates along with increased rates in the securities portfolio. Interest income on securities increased by $4.2 million or 11.0% for the year ended December 31, 2023, compared to the year ended December 31, 2022. Interest income on loans increased $28.2 million or 38.2% for the year ended December 31, 2023, compared to the year ended December 31, 2022.</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interest expense was $53.1 million for the year ended December 31, 2023, compared to $8.9 million for the previous year ended December 31, 2022, an increase of 494.3%. The increase in interest expense was primarily driven by increasing interest rates for both interest-bearing deposits and borrowed funds and by a lesser extent from balance increases in both interest-bearing deposits and borrowed funds. Interest expense on interest-bearing deposits increased by $35.5 million or 947.4% for the year ended December 31, 2023, compared to the year ended December 31, 2022. Interest expense on borrowed funds increased by $8.7 million or 169.8% for the year ended December 31, 2023, compared to the year ended December 31, 2022.</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provision for credit losses was $0.2 million for the year ended December 31, 2023, compared to a recapture of credit losses of $7.5 million for the year ended December 31, 2022. The increased provision expense was due to the Company estimating credit losses using an expected life-time loss model versus an incurred model and a large recapture of credit losses in 2022. The recapture of credit losses in 2022 was a result of reassessing COVID-19 qualitative factors and the sale of a non-performing loan note. Proceeds obtained for this non-performing loan note were greater than the net of the loan note’s carrying value and specific reserve. Additionally, loan balances have risen significantly for the year ended December 31, 2023, versus the year ended December 31, 2022. See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auto"/>
        </w:rPr>
        <w:t xml:space="preserve"> in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Increase (Decrease) 2023 vs. 2022</w:t>
            </w:r>
          </w:p>
        </w:tc>
      </w:tr>
      <w:tr>
        <w:trPr>
          <w:trHeight w:val="211"/>
        </w:trPr>
        <w:tc>
          <w:tcPr>
            <w:tcW w:w="4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(75.3)</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r>
      <w:tr>
        <w:trPr>
          <w:trHeight w:val="207"/>
        </w:trPr>
        <w:tc>
          <w:tcPr>
            <w:tcW w:w="4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17,952</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2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Non-interest income increased by $0.9 million or 5.1% for the year ended December 31, 2023, compared to December 31, 2022. The increase was primarily driven by an increase in other non-interest income of $0.5 million, which included an increase in dividend income from FHLB stock of $0.2 million and an increase in fee income from customer swap activity of $0.4 million compared to the year ended December 31, 2022. See </w:t>
      </w:r>
      <w:r>
        <w:rPr>
          <w:rFonts w:ascii="Times New Roman" w:cs="Times New Roman" w:eastAsia="Times New Roman" w:hAnsi="Times New Roman"/>
          <w:sz w:val="18"/>
          <w:szCs w:val="18"/>
          <w:u w:val="single" w:color="auto"/>
          <w:color w:val="0000FF"/>
        </w:rPr>
        <w:t>Note 22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Revenue from Contracts with Customers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 The Company also realized lower losses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sale of securities resulting in an increase of $0.3 million from the prior year and an increase in income from Company-owned life insurance of $0.2 million. These increases were partially offset by a decrease in service charges and fees of $0.2 million for the year ended December 31, 2023, compared to December 31, 2022.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Increase (Decrease) 2023 vs. 2022</w:t>
            </w:r>
          </w:p>
        </w:tc>
      </w:tr>
      <w:tr>
        <w:trPr>
          <w:trHeight w:val="211"/>
        </w:trPr>
        <w:tc>
          <w:tcPr>
            <w:tcW w:w="4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39,247</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25,983</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49.2</w:t>
            </w:r>
          </w:p>
        </w:tc>
      </w:tr>
      <w:tr>
        <w:trPr>
          <w:trHeight w:val="207"/>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86,436</w:t>
            </w: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75,946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10,490</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r>
    </w:tbl>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Non-interest expense increased 13.8% for the year ended December 31, 2023, compared to December 31, 2022. The increase in pensions and other employee benefit costs of $1.7 million or 22.1%, from the prior year, was primarily driven by an increase in the Company’s periodic pension cost of $1.0 million and increasing costs arising due to new and existing employee benefits. In addition, our other non-interest expense increased by $8.6 million for the year ended December 31, 2023, largely due to the sale of corporate buildings that lowered other non-interest expense by $4.6 million for the year ended December 31, 2022 along with listing and merger-related costs incurred during the year ended December 31, 2023 which increased other non-interest expense. The costs associated with the listing of our common stock on the Nasdaq stock exchange, including the filing of a Form 10 Registration Statement with the SEC, and costs incurred for the pending merger with Summit totaled $3.4 million for the year ended December 31, 2023. The majority of these listing and merger-related costs consist of legal, consulting, and audit fees. See </w:t>
      </w:r>
      <w:r>
        <w:rPr>
          <w:rFonts w:ascii="Times New Roman" w:cs="Times New Roman" w:eastAsia="Times New Roman" w:hAnsi="Times New Roman"/>
          <w:sz w:val="18"/>
          <w:szCs w:val="18"/>
          <w:u w:val="single" w:color="auto"/>
          <w:color w:val="0000FF"/>
        </w:rPr>
        <w:t>Note 20 — Other Operating Expenses</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was $2.4 million for the year ended December 31, 2023, a decrease of $5.9 million from the tax provision for the year ended December 31, 2022. For 2023 and 2022, our effective tax rates were 9.5% and 15.8%, respectively. A decrease in income from operations led to the decrease in the effective tax rate for 2023. The effective tax rate going forward will continue to depend on income from operations as well as any legislative corporate tax changes.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2022, and December 31, 2021</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comparison of the 2022 results to the 2021 results and other 2021 information not included herein, refer to the "Management’s Discussion and Analysis of Financial Condition and Results of Operations” in Item 2, “Financial Information” of the Company’s Registration Statement on Form 10 as amended and declared effective on April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Years Ended December 31, 2023, and December 31, 2022</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Assets increased by $54.7 million to $3.62 billion as of December 31, 2023, compared to $3.56 billion as of December 31, 2022. The increase in assets was primarily due to an increase in loans, net of ACL, of $196.3 million, partially offset by a decrease of $123.3 million in the balance of our securities portfolio due to paydowns and maturities partially offset by an increase in fair value. The securities portfolio amounted to $1.25 billion at December 31, 2023, compared to $1.37 billion at December 31, 2022. Deposits increased by $81.5 million and amounted to $3.00 billion at December 31, 2023, compared to $2.92 billion at December 31, 2022. Borrowed funds decreased by $71.1 million to $272.0 million as of December 31, 2023, compared to $343.1 million at December 31, 2022.</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available-for-sale (“AFS”).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year ended December 31, 2023, the unrealized losses on our holdings decreased from December 31, 2022, increasing the fair value of the portfolio, offset by portfolio runoff, and rebalancing which had a negative impact on the value of our AFS portfolio.</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 2023, the Company adopted the new CECL standard in accordance with ASU 2016-13, which changed the accounting framework by replacing the other-than-temporary impairment (“OTTI”) assessment with the recognition of an ACL. The Company determined that the declines in market value were due to increases in interest rates and market movements and not due to credit factors. Therefore, the Company has concluded that the unrealized losses for the AFS securities do not require an ACL at December 31, 2023. Under the prior OTTI framework, the Company did not record any cumulative OTTI expense as of December 31, 2022.</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as of December 31, 2023, and December 31, 2022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5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13"/>
                <w:szCs w:val="13"/>
                <w:color w:val="auto"/>
              </w:rPr>
            </w:pPr>
          </w:p>
        </w:tc>
        <w:tc>
          <w:tcPr>
            <w:tcW w:w="13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463,203</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177,061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77,936</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13"/>
                <w:szCs w:val="13"/>
                <w:color w:val="auto"/>
              </w:rPr>
            </w:pPr>
          </w:p>
        </w:tc>
        <w:tc>
          <w:tcPr>
            <w:tcW w:w="13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198,154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174,993</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453,907</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339,295</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183,299</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98,626</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1,537,420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165,825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1,371,757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December 31, 2023. The actual timing of principal payments may differ from remaining contractual maturities because obligors may have the right to repay certain obligations with or without penalties. The overall weighted average duration of the Company’s investment portfolio is 3.8 years at December 31, 2023. The weighted-average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below represents the effective yield for the investment securities and is calculated based on the amortized cost of each security (dollars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securities below excludes tax-equivalent adjustments.</w:t>
      </w:r>
    </w:p>
    <w:p>
      <w:pPr>
        <w:spacing w:after="0" w:line="18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One Year or Less</w:t>
            </w: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One to Five Years</w:t>
            </w: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Five to Ten Years</w:t>
            </w: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After Ten Years</w:t>
            </w:r>
          </w:p>
        </w:tc>
        <w:tc>
          <w:tcPr>
            <w:tcW w:w="1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6"/>
        </w:trPr>
        <w:tc>
          <w:tcPr>
            <w:tcW w:w="1820" w:type="dxa"/>
            <w:vAlign w:val="bottom"/>
          </w:tcPr>
          <w:p>
            <w:pPr>
              <w:spacing w:after="0"/>
              <w:rPr>
                <w:sz w:val="9"/>
                <w:szCs w:val="9"/>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100" w:type="dxa"/>
            <w:vAlign w:val="bottom"/>
          </w:tcPr>
          <w:p>
            <w:pPr>
              <w:spacing w:after="0"/>
              <w:rPr>
                <w:sz w:val="9"/>
                <w:szCs w:val="9"/>
                <w:color w:val="auto"/>
              </w:rPr>
            </w:pPr>
          </w:p>
        </w:tc>
        <w:tc>
          <w:tcPr>
            <w:tcW w:w="9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100" w:type="dxa"/>
            <w:vAlign w:val="bottom"/>
          </w:tcPr>
          <w:p>
            <w:pPr>
              <w:spacing w:after="0"/>
              <w:rPr>
                <w:sz w:val="9"/>
                <w:szCs w:val="9"/>
                <w:color w:val="auto"/>
              </w:rPr>
            </w:pPr>
          </w:p>
        </w:tc>
        <w:tc>
          <w:tcPr>
            <w:tcW w:w="8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20" w:type="dxa"/>
            <w:vAlign w:val="bottom"/>
            <w:tcBorders>
              <w:top w:val="single" w:sz="8" w:color="auto"/>
            </w:tcBorders>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80" w:type="dxa"/>
            <w:vAlign w:val="bottom"/>
          </w:tcPr>
          <w:p>
            <w:pPr>
              <w:spacing w:after="0"/>
              <w:rPr>
                <w:sz w:val="9"/>
                <w:szCs w:val="9"/>
                <w:color w:val="auto"/>
              </w:rPr>
            </w:pPr>
          </w:p>
        </w:tc>
        <w:tc>
          <w:tcPr>
            <w:tcW w:w="9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0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00" w:type="dxa"/>
            <w:vAlign w:val="bottom"/>
            <w:tcBorders>
              <w:top w:val="single" w:sz="8" w:color="auto"/>
            </w:tcBorders>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900" w:type="dxa"/>
            <w:vAlign w:val="bottom"/>
            <w:gridSpan w:val="3"/>
            <w:vMerge w:val="continue"/>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880" w:type="dxa"/>
            <w:vAlign w:val="bottom"/>
            <w:gridSpan w:val="3"/>
            <w:vMerge w:val="continue"/>
          </w:tcPr>
          <w:p>
            <w:pPr>
              <w:spacing w:after="0"/>
              <w:rPr>
                <w:sz w:val="13"/>
                <w:szCs w:val="13"/>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900" w:type="dxa"/>
            <w:vAlign w:val="bottom"/>
            <w:gridSpan w:val="3"/>
            <w:vMerge w:val="continue"/>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920" w:type="dxa"/>
            <w:vAlign w:val="bottom"/>
            <w:gridSpan w:val="3"/>
            <w:vMerge w:val="continue"/>
          </w:tcPr>
          <w:p>
            <w:pPr>
              <w:spacing w:after="0"/>
              <w:rPr>
                <w:sz w:val="13"/>
                <w:szCs w:val="13"/>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0" w:type="dxa"/>
            <w:vAlign w:val="bottom"/>
          </w:tcPr>
          <w:p>
            <w:pPr>
              <w:spacing w:after="0"/>
              <w:rPr>
                <w:sz w:val="1"/>
                <w:szCs w:val="1"/>
                <w:color w:val="auto"/>
              </w:rPr>
            </w:pPr>
          </w:p>
        </w:tc>
      </w:tr>
      <w:tr>
        <w:trPr>
          <w:trHeight w:val="162"/>
        </w:trPr>
        <w:tc>
          <w:tcPr>
            <w:tcW w:w="1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Securities Available-for-Sale</w:t>
            </w: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2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U.S. Treasuries and</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government agencies</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29,894</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141,774</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25,357</w:t>
            </w:r>
          </w:p>
        </w:tc>
        <w:tc>
          <w:tcPr>
            <w:tcW w:w="8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1.36 %</w:t>
            </w:r>
          </w:p>
        </w:tc>
        <w:tc>
          <w:tcPr>
            <w:tcW w:w="8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197,025</w:t>
            </w:r>
          </w:p>
        </w:tc>
        <w:tc>
          <w:tcPr>
            <w:tcW w:w="100" w:type="dxa"/>
            <w:vAlign w:val="bottom"/>
          </w:tcPr>
          <w:p>
            <w:pPr>
              <w:spacing w:after="0"/>
              <w:rPr>
                <w:sz w:val="15"/>
                <w:szCs w:val="15"/>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7"/>
              </w:rPr>
              <w:t>1.36 %</w:t>
            </w:r>
          </w:p>
        </w:tc>
        <w:tc>
          <w:tcPr>
            <w:tcW w:w="0" w:type="dxa"/>
            <w:vAlign w:val="bottom"/>
          </w:tcPr>
          <w:p>
            <w:pPr>
              <w:spacing w:after="0"/>
              <w:rPr>
                <w:sz w:val="1"/>
                <w:szCs w:val="1"/>
                <w:color w:val="auto"/>
              </w:rPr>
            </w:pPr>
          </w:p>
        </w:tc>
      </w:tr>
      <w:tr>
        <w:trPr>
          <w:trHeight w:val="130"/>
        </w:trPr>
        <w:tc>
          <w:tcPr>
            <w:tcW w:w="182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3"/>
                <w:szCs w:val="13"/>
                <w:color w:val="auto"/>
              </w:rPr>
              <w:t>Obligations of states and</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municipalities</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359,940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149,398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535,229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21"/>
        </w:trPr>
        <w:tc>
          <w:tcPr>
            <w:tcW w:w="182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w w:val="98"/>
              </w:rPr>
              <w:t>Residential mortgage backed -</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agency</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5"/>
                <w:szCs w:val="15"/>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11,078</w:t>
            </w:r>
          </w:p>
        </w:tc>
        <w:tc>
          <w:tcPr>
            <w:tcW w:w="100" w:type="dxa"/>
            <w:vAlign w:val="bottom"/>
          </w:tcPr>
          <w:p>
            <w:pPr>
              <w:spacing w:after="0"/>
              <w:rPr>
                <w:sz w:val="15"/>
                <w:szCs w:val="15"/>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35,954</w:t>
            </w:r>
          </w:p>
        </w:tc>
        <w:tc>
          <w:tcPr>
            <w:tcW w:w="8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47,075</w:t>
            </w:r>
          </w:p>
        </w:tc>
        <w:tc>
          <w:tcPr>
            <w:tcW w:w="100" w:type="dxa"/>
            <w:vAlign w:val="bottom"/>
          </w:tcPr>
          <w:p>
            <w:pPr>
              <w:spacing w:after="0"/>
              <w:rPr>
                <w:sz w:val="15"/>
                <w:szCs w:val="15"/>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129"/>
        </w:trPr>
        <w:tc>
          <w:tcPr>
            <w:tcW w:w="182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3"/>
                <w:szCs w:val="13"/>
                <w:color w:val="auto"/>
                <w:w w:val="98"/>
              </w:rPr>
              <w:t>Residential mortgage backed -</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non-agency</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91,411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91,837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92,752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284,826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122"/>
        </w:trPr>
        <w:tc>
          <w:tcPr>
            <w:tcW w:w="182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w w:val="99"/>
              </w:rPr>
              <w:t>Commercial mortgage backed</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 agency</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5"/>
                <w:szCs w:val="15"/>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23,724</w:t>
            </w:r>
          </w:p>
        </w:tc>
        <w:tc>
          <w:tcPr>
            <w:tcW w:w="100" w:type="dxa"/>
            <w:vAlign w:val="bottom"/>
          </w:tcPr>
          <w:p>
            <w:pPr>
              <w:spacing w:after="0"/>
              <w:rPr>
                <w:sz w:val="15"/>
                <w:szCs w:val="15"/>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12,304</w:t>
            </w:r>
          </w:p>
        </w:tc>
        <w:tc>
          <w:tcPr>
            <w:tcW w:w="8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36,150</w:t>
            </w:r>
          </w:p>
        </w:tc>
        <w:tc>
          <w:tcPr>
            <w:tcW w:w="100" w:type="dxa"/>
            <w:vAlign w:val="bottom"/>
          </w:tcPr>
          <w:p>
            <w:pPr>
              <w:spacing w:after="0"/>
              <w:rPr>
                <w:sz w:val="15"/>
                <w:szCs w:val="15"/>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30"/>
        </w:trPr>
        <w:tc>
          <w:tcPr>
            <w:tcW w:w="182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3"/>
                <w:szCs w:val="13"/>
                <w:color w:val="auto"/>
                <w:w w:val="99"/>
              </w:rPr>
              <w:t>Commercial mortgage backed</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non-agency</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44,762</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133,554</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5,139</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183,455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4.91</w:t>
            </w:r>
          </w:p>
        </w:tc>
        <w:tc>
          <w:tcPr>
            <w:tcW w:w="0" w:type="dxa"/>
            <w:vAlign w:val="bottom"/>
          </w:tcPr>
          <w:p>
            <w:pPr>
              <w:spacing w:after="0"/>
              <w:rPr>
                <w:sz w:val="1"/>
                <w:szCs w:val="1"/>
                <w:color w:val="auto"/>
              </w:rPr>
            </w:pPr>
          </w:p>
        </w:tc>
      </w:tr>
      <w:tr>
        <w:trPr>
          <w:trHeight w:val="170"/>
        </w:trPr>
        <w:tc>
          <w:tcPr>
            <w:tcW w:w="1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Asset backed</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8,445</w:t>
            </w:r>
          </w:p>
        </w:tc>
        <w:tc>
          <w:tcPr>
            <w:tcW w:w="100" w:type="dxa"/>
            <w:vAlign w:val="bottom"/>
          </w:tcPr>
          <w:p>
            <w:pPr>
              <w:spacing w:after="0"/>
              <w:rPr>
                <w:sz w:val="14"/>
                <w:szCs w:val="14"/>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34,470</w:t>
            </w:r>
          </w:p>
        </w:tc>
        <w:tc>
          <w:tcPr>
            <w:tcW w:w="100" w:type="dxa"/>
            <w:vAlign w:val="bottom"/>
          </w:tcPr>
          <w:p>
            <w:pPr>
              <w:spacing w:after="0"/>
              <w:rPr>
                <w:sz w:val="14"/>
                <w:szCs w:val="14"/>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36,400</w:t>
            </w:r>
          </w:p>
        </w:tc>
        <w:tc>
          <w:tcPr>
            <w:tcW w:w="80" w:type="dxa"/>
            <w:vAlign w:val="bottom"/>
          </w:tcPr>
          <w:p>
            <w:pPr>
              <w:spacing w:after="0"/>
              <w:rPr>
                <w:sz w:val="14"/>
                <w:szCs w:val="14"/>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79,315</w:t>
            </w:r>
          </w:p>
        </w:tc>
        <w:tc>
          <w:tcPr>
            <w:tcW w:w="100" w:type="dxa"/>
            <w:vAlign w:val="bottom"/>
          </w:tcPr>
          <w:p>
            <w:pPr>
              <w:spacing w:after="0"/>
              <w:rPr>
                <w:sz w:val="14"/>
                <w:szCs w:val="1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6.35</w:t>
            </w:r>
          </w:p>
        </w:tc>
        <w:tc>
          <w:tcPr>
            <w:tcW w:w="0" w:type="dxa"/>
            <w:vAlign w:val="bottom"/>
          </w:tcPr>
          <w:p>
            <w:pPr>
              <w:spacing w:after="0"/>
              <w:rPr>
                <w:sz w:val="1"/>
                <w:szCs w:val="1"/>
                <w:color w:val="auto"/>
              </w:rPr>
            </w:pPr>
          </w:p>
        </w:tc>
      </w:tr>
      <w:tr>
        <w:trPr>
          <w:trHeight w:val="181"/>
        </w:trPr>
        <w:tc>
          <w:tcPr>
            <w:tcW w:w="1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163"/>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174,677</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462,328</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577,346</w:t>
            </w:r>
          </w:p>
        </w:tc>
        <w:tc>
          <w:tcPr>
            <w:tcW w:w="80" w:type="dxa"/>
            <w:vAlign w:val="bottom"/>
          </w:tcPr>
          <w:p>
            <w:pPr>
              <w:spacing w:after="0"/>
              <w:rPr>
                <w:sz w:val="14"/>
                <w:szCs w:val="14"/>
                <w:color w:val="auto"/>
              </w:rPr>
            </w:pPr>
          </w:p>
        </w:tc>
        <w:tc>
          <w:tcPr>
            <w:tcW w:w="9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2.67 %</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158,224</w:t>
            </w:r>
          </w:p>
        </w:tc>
        <w:tc>
          <w:tcPr>
            <w:tcW w:w="1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2.28 %</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1,372,575</w:t>
            </w:r>
          </w:p>
        </w:tc>
        <w:tc>
          <w:tcPr>
            <w:tcW w:w="100" w:type="dxa"/>
            <w:vAlign w:val="bottom"/>
          </w:tcPr>
          <w:p>
            <w:pPr>
              <w:spacing w:after="0"/>
              <w:rPr>
                <w:sz w:val="14"/>
                <w:szCs w:val="14"/>
                <w:color w:val="auto"/>
              </w:rPr>
            </w:pPr>
          </w:p>
        </w:tc>
        <w:tc>
          <w:tcPr>
            <w:tcW w:w="9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w w:val="97"/>
              </w:rPr>
              <w:t>3.11 %</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loan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1 — Nature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 Activities and 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 balances by portfolio segment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12/31/2022</w:t>
            </w:r>
          </w:p>
        </w:tc>
      </w:tr>
      <w:tr>
        <w:trPr>
          <w:trHeight w:val="21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1,109,315</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127,114</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94,450</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53,514</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499,362</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2,087,756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1,887,221</w:t>
            </w:r>
          </w:p>
        </w:tc>
      </w:tr>
      <w:tr>
        <w:trPr>
          <w:trHeight w:val="20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(21,039)</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1,866,182</w:t>
            </w: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loan portfolio, excluding ACL, increased by $200.5 million from December 31, 2022, to December 31, 2023, primarily due to commercial real estate, commercial &amp; industrial, and residential real estate loan production. The Company has continued to grow organically by continuing to serve existing customers and new customers through our expansion into newer markets.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December 31, 2023. The maturity distribution is grouped by remaining scheduled principal payments that are due in the following periods. The principal balances of loans are indicated by both fixed and floating rate categories in the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Within One Year</w:t>
            </w:r>
          </w:p>
        </w:tc>
        <w:tc>
          <w:tcPr>
            <w:tcW w:w="1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One Year to Five Years</w:t>
            </w: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Five Years to 15 Years</w:t>
            </w:r>
          </w:p>
        </w:tc>
        <w:tc>
          <w:tcPr>
            <w:tcW w:w="1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After 15 Years</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121"/>
        </w:trPr>
        <w:tc>
          <w:tcPr>
            <w:tcW w:w="2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50"/>
              <w:spacing w:after="0" w:line="121"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70"/>
              <w:spacing w:after="0" w:line="121"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70"/>
              <w:spacing w:after="0" w:line="121"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50"/>
              <w:spacing w:after="0" w:line="121"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83"/>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13"/>
        </w:trPr>
        <w:tc>
          <w:tcPr>
            <w:tcW w:w="2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97,528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1,309,084</w:t>
            </w:r>
          </w:p>
        </w:tc>
      </w:tr>
      <w:tr>
        <w:trPr>
          <w:trHeight w:val="165"/>
        </w:trPr>
        <w:tc>
          <w:tcPr>
            <w:tcW w:w="20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Owner-occupied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6"/>
        </w:trPr>
        <w:tc>
          <w:tcPr>
            <w:tcW w:w="2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131,381</w:t>
            </w:r>
          </w:p>
        </w:tc>
      </w:tr>
      <w:tr>
        <w:trPr>
          <w:trHeight w:val="162"/>
        </w:trPr>
        <w:tc>
          <w:tcPr>
            <w:tcW w:w="20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Acquisition, construction &amp;</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3"/>
        </w:trPr>
        <w:tc>
          <w:tcPr>
            <w:tcW w:w="20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49,091</w:t>
            </w:r>
          </w:p>
        </w:tc>
      </w:tr>
      <w:tr>
        <w:trPr>
          <w:trHeight w:val="219"/>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67,847</w:t>
            </w:r>
          </w:p>
        </w:tc>
      </w:tr>
      <w:tr>
        <w:trPr>
          <w:trHeight w:val="193"/>
        </w:trPr>
        <w:tc>
          <w:tcPr>
            <w:tcW w:w="2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commercial loans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120,279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40,959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686,667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181,126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395,842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103,945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26,481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1,557,403</w:t>
            </w:r>
          </w:p>
        </w:tc>
      </w:tr>
      <w:tr>
        <w:trPr>
          <w:trHeight w:val="165"/>
        </w:trPr>
        <w:tc>
          <w:tcPr>
            <w:tcW w:w="20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Single family residential (1-</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6"/>
        </w:trPr>
        <w:tc>
          <w:tcPr>
            <w:tcW w:w="2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4 units)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527,980</w:t>
            </w:r>
          </w:p>
        </w:tc>
      </w:tr>
      <w:tr>
        <w:trPr>
          <w:trHeight w:val="162"/>
        </w:trPr>
        <w:tc>
          <w:tcPr>
            <w:tcW w:w="20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Consumer non-real estate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3"/>
        </w:trPr>
        <w:tc>
          <w:tcPr>
            <w:tcW w:w="20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r>
      <w:tr>
        <w:trPr>
          <w:trHeight w:val="196"/>
        </w:trPr>
        <w:tc>
          <w:tcPr>
            <w:tcW w:w="20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696,374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197,047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2,087,756</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w:t>
      </w:r>
    </w:p>
    <w:p>
      <w:pPr>
        <w:spacing w:after="0" w:line="27" w:lineRule="exact"/>
        <w:rPr>
          <w:sz w:val="20"/>
          <w:szCs w:val="20"/>
          <w:color w:val="auto"/>
        </w:rPr>
      </w:pPr>
    </w:p>
    <w:p>
      <w:pPr>
        <w:ind w:right="20" w:firstLine="8"/>
        <w:spacing w:after="0" w:line="260"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asset quality remained strong through December 31, 2023. The Company’s non-performing assets, which includes non-performing loans consisting of non-accrual loans, loans that are more than 90 days past due and still accruing, and other real estate owned, as of December 31, 2023, and December 31, 2022, totaled $3.7 million and $5.5 million,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December 31, 2023, and December 31, 2022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12/31/2022</w:t>
            </w:r>
          </w:p>
        </w:tc>
      </w:tr>
      <w:tr>
        <w:trPr>
          <w:trHeight w:val="21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r>
      <w:tr>
        <w:trPr>
          <w:trHeight w:val="270"/>
        </w:trPr>
        <w:tc>
          <w:tcPr>
            <w:tcW w:w="8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the “Critical Accounting Policies and Estimates” section above and </w:t>
      </w:r>
      <w:r>
        <w:rPr>
          <w:rFonts w:ascii="Times New Roman" w:cs="Times New Roman" w:eastAsia="Times New Roman" w:hAnsi="Times New Roman"/>
          <w:sz w:val="18"/>
          <w:szCs w:val="18"/>
          <w:u w:val="single" w:color="auto"/>
          <w:color w:val="0000FF"/>
        </w:rPr>
        <w:t>Note 1 — Nature of Business Activities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management’s approach to estimating the allowance for credit losses.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the ACL at a level deemed adequate by management for expected credit losses. As disclosed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in Notes to Consolidated Financial Statements, on January 1, 2023, the Company implemented CECL and increased the ACL, previously the allowance for credit losses, with a cumulative-effect adjustment to the ACL for credit losses of $4.4 million, which included a 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charged-off loans were $0.2 million, $3.5 million, and $0.2 million for the years ended December 31, 2023, December 31, 2022, and December 31, 2021, respectively. A majority of the charge-offs in 2022 related to a loan that the Company sold as part of a portfolio management strategy. Gross recoveries totaled $0.1 million, $0.2 million, and $0.3 million for the years ended December 31, 2023, December 31, 2022, and December 31, 2021, respectively. The ACL as a percentage of gross loans, net of unearned income, was 1.21%, 1.11%, and 1.82% as of December 31, 2023, December 31, 2022, and December 31, 2021, respectively.</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a provision for credit losses of $0.2 million, a provision recapture of credit losses of $7.5 million, and a provision recapture of credit losses of $1.0 million for the years ended December 31, 2023, December 31, 2022, and December 31, 2021, respectively. The increased provision expense in 2023 was partly due to the Company estimating credit losses using an expected life-time loss model versus an incurred model but primarily the result of a large recapture in 2022. The provision recapture in 2022 was a result of reassessing COVID-19 qualitative factors and the sale of a non-performing loan note.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for the year ended December 31, 2023, and the changes in the Company’s allowance for loan losses for the years ended December 31, 2022, and December 31, 2021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2,087,756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1,887,221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1,745,073</w:t>
            </w: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Balance of allowance at beginning of year</w:t>
            </w:r>
          </w:p>
        </w:tc>
        <w:tc>
          <w:tcPr>
            <w:tcW w:w="38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(21,039)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(31,709)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(32,697)</w:t>
            </w:r>
          </w:p>
        </w:tc>
      </w:tr>
      <w:tr>
        <w:trPr>
          <w:trHeight w:val="21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CECL adjustment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Loans charged-off</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r>
      <w:tr>
        <w:trPr>
          <w:trHeight w:val="213"/>
        </w:trPr>
        <w:tc>
          <w:tcPr>
            <w:tcW w:w="6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Residential</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loans charged-off</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242</w:t>
            </w: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6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Residential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r>
      <w:tr>
        <w:trPr>
          <w:trHeight w:val="213"/>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w:t>
            </w:r>
          </w:p>
        </w:tc>
      </w:tr>
      <w:tr>
        <w:trPr>
          <w:trHeight w:val="207"/>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380" w:type="dxa"/>
            <w:vAlign w:val="bottom"/>
          </w:tcPr>
          <w:p>
            <w:pPr>
              <w:spacing w:after="0"/>
              <w:rPr>
                <w:sz w:val="17"/>
                <w:szCs w:val="17"/>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3,204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(7,466)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(1,002)</w:t>
            </w:r>
          </w:p>
        </w:tc>
      </w:tr>
      <w:tr>
        <w:trPr>
          <w:trHeight w:val="207"/>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Ending allowance</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(21,039)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(31,709)</w:t>
            </w:r>
          </w:p>
        </w:tc>
      </w:tr>
      <w:tr>
        <w:trPr>
          <w:trHeight w:val="253"/>
        </w:trPr>
        <w:tc>
          <w:tcPr>
            <w:tcW w:w="6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2,007,030</w:t>
            </w:r>
          </w:p>
        </w:tc>
        <w:tc>
          <w:tcPr>
            <w:tcW w:w="10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1,773,883</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1,789,172</w:t>
            </w:r>
          </w:p>
        </w:tc>
      </w:tr>
      <w:tr>
        <w:trPr>
          <w:trHeight w:val="219"/>
        </w:trPr>
        <w:tc>
          <w:tcPr>
            <w:tcW w:w="60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Allowance coverage ratio</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Net charge-offs to average outstanding loans during the period</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r>
      <w:tr>
        <w:trPr>
          <w:trHeight w:val="216"/>
        </w:trPr>
        <w:tc>
          <w:tcPr>
            <w:tcW w:w="6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r>
              <w:rPr>
                <w:rFonts w:ascii="Times New Roman" w:cs="Times New Roman" w:eastAsia="Times New Roman" w:hAnsi="Times New Roman"/>
                <w:sz w:val="21"/>
                <w:szCs w:val="21"/>
                <w:color w:val="auto"/>
                <w:vertAlign w:val="superscript"/>
              </w:rPr>
              <w:t>(3)</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675.77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382.74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120.75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 for the year ended December 31, 2023, and by dividing the allowance for loan losses at the end of the period by gross loans, net of unearned income at the end of the period for all other periods presented.</w:t>
      </w:r>
    </w:p>
    <w:p>
      <w:pPr>
        <w:ind w:left="34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ind w:left="340" w:right="20" w:hanging="332"/>
        <w:spacing w:after="0" w:line="263"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at the end of the period for the year ended December 31, 2023, and by dividing the allowance for loan losses at the end of the period by nonaccrual loans at the end of the period for all other periods presented.</w:t>
      </w: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allowance for credit losses by portfolio segment with a comparison of the percentage composition in relation to total ACL and total loans as of December 31, 2023, and the allowance for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by portfolio with a comparison of the percentage composition in relation to total allowance for loan losses and total loans for December 31, 2022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in Each Category to</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40" w:type="dxa"/>
            <w:vAlign w:val="bottom"/>
            <w:gridSpan w:val="3"/>
            <w:vMerge w:val="continue"/>
          </w:tcPr>
          <w:p>
            <w:pPr>
              <w:spacing w:after="0"/>
              <w:rPr>
                <w:sz w:val="14"/>
                <w:szCs w:val="14"/>
                <w:color w:val="auto"/>
              </w:rPr>
            </w:pP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Total Allocated</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20,633</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81.56 %</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62.71 %</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11.05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 real estate and other</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3"/>
        </w:trPr>
        <w:tc>
          <w:tcPr>
            <w:tcW w:w="6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12/31/2022</w:t>
            </w: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Allowance for loan</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in Each Category to</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Total Allocated</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73.56 %</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58.78 %</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1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26.46</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 real estate and other</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21,039</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are described more fully in </w:t>
      </w:r>
      <w:r>
        <w:rPr>
          <w:rFonts w:ascii="Times New Roman" w:cs="Times New Roman" w:eastAsia="Times New Roman" w:hAnsi="Times New Roman"/>
          <w:sz w:val="18"/>
          <w:szCs w:val="18"/>
          <w:u w:val="single" w:color="auto"/>
          <w:color w:val="0000FF"/>
        </w:rPr>
        <w:t>Note 13 — Derivatives</w:t>
      </w:r>
      <w:r>
        <w:rPr>
          <w:rFonts w:ascii="Times New Roman" w:cs="Times New Roman" w:eastAsia="Times New Roman" w:hAnsi="Times New Roman"/>
          <w:sz w:val="18"/>
          <w:szCs w:val="18"/>
          <w:color w:val="auto"/>
        </w:rPr>
        <w:t xml:space="preserve"> in Notes to Consolidated Financial Statements.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14—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Sources of borrowings include advances from the FHLB of Atlanta, borrowings from correspondent banks, and the Fed Discount Window. The Company also utilizes brokered time deposits. For more discussion of brokered time deposits, see the Deposits heading below this section.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available unused borrowing capacity of $987.0 million through its available lines of credit with the FHLB of Atlanta and unsecured federal fund lines of credit from correspondent banking relationships. Advances on credit lines are secured by both securities and loans.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borrowings at year end 2023 and 2022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272,000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343,100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 at end of period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4.42 %</w:t>
            </w:r>
          </w:p>
        </w:tc>
      </w:tr>
    </w:tbl>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Total deposits increased by $81.5 million from December 31, 2023, to December 31, 2022, primarily driven by the issuance of brokered deposits. The Company’s brokered deposits balance was $389.0 million and $100.3 million at December 31, 2023, and December 31, 2022, respectively. All of the Company’s brokered deposits are in the form of certificates of deposits that are insured by the FDIC. The Company issued brokered CDs in tranches, with varying initial maturities from 18 months to 60 months and varying call options between 6 months and 12 months. The Company has the ability to call all current issuances by the end of February 2024, at par. Excluding the brokered deposit balance, the total deposit balance decreased by $207.3 million due to economic and competitive conditions.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average balances of deposits and the average interest rates paid as of the dates indicated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Dec 31, 2023</w:t>
            </w:r>
          </w:p>
        </w:tc>
        <w:tc>
          <w:tcPr>
            <w:tcW w:w="160" w:type="dxa"/>
            <w:vAlign w:val="bottom"/>
          </w:tcPr>
          <w:p>
            <w:pPr>
              <w:spacing w:after="0"/>
              <w:rPr>
                <w:sz w:val="18"/>
                <w:szCs w:val="18"/>
                <w:color w:val="auto"/>
              </w:rPr>
            </w:pPr>
          </w:p>
        </w:tc>
        <w:tc>
          <w:tcPr>
            <w:tcW w:w="3140" w:type="dxa"/>
            <w:vAlign w:val="bottom"/>
            <w:gridSpan w:val="3"/>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Dec 31, 2022</w:t>
            </w:r>
          </w:p>
        </w:tc>
      </w:tr>
      <w:tr>
        <w:trPr>
          <w:trHeight w:val="211"/>
        </w:trPr>
        <w:tc>
          <w:tcPr>
            <w:tcW w:w="46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 Balance</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Rate Paid</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 Balance</w:t>
            </w:r>
          </w:p>
        </w:tc>
        <w:tc>
          <w:tcPr>
            <w:tcW w:w="10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 Rate Paid</w:t>
            </w:r>
          </w:p>
        </w:tc>
      </w:tr>
      <w:tr>
        <w:trPr>
          <w:trHeight w:val="21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878,740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971,618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544,651</w:t>
            </w:r>
          </w:p>
        </w:tc>
        <w:tc>
          <w:tcPr>
            <w:tcW w:w="1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580,901</w:t>
            </w:r>
          </w:p>
        </w:tc>
        <w:tc>
          <w:tcPr>
            <w:tcW w:w="1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967,306</w:t>
            </w:r>
          </w:p>
        </w:tc>
        <w:tc>
          <w:tcPr>
            <w:tcW w:w="16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1,116,941</w:t>
            </w:r>
          </w:p>
        </w:tc>
        <w:tc>
          <w:tcPr>
            <w:tcW w:w="17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0.14</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347,582</w:t>
            </w:r>
          </w:p>
        </w:tc>
        <w:tc>
          <w:tcPr>
            <w:tcW w:w="1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41,257</w:t>
            </w:r>
          </w:p>
        </w:tc>
        <w:tc>
          <w:tcPr>
            <w:tcW w:w="17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3.45</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250,214</w:t>
            </w:r>
          </w:p>
        </w:tc>
        <w:tc>
          <w:tcPr>
            <w:tcW w:w="16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252,161</w:t>
            </w:r>
          </w:p>
        </w:tc>
        <w:tc>
          <w:tcPr>
            <w:tcW w:w="17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r>
      <w:tr>
        <w:trPr>
          <w:trHeight w:val="207"/>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2,109,753</w:t>
            </w:r>
          </w:p>
        </w:tc>
        <w:tc>
          <w:tcPr>
            <w:tcW w:w="166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1,991,260</w:t>
            </w:r>
          </w:p>
        </w:tc>
        <w:tc>
          <w:tcPr>
            <w:tcW w:w="176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0.19</w:t>
            </w: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2,988,493</w:t>
            </w:r>
          </w:p>
        </w:tc>
        <w:tc>
          <w:tcPr>
            <w:tcW w:w="16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2,962,878</w:t>
            </w:r>
          </w:p>
        </w:tc>
        <w:tc>
          <w:tcPr>
            <w:tcW w:w="17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average deposits increased by $25.6 million, due to the Company’s issuance of brokered deposits that more than offset declines in deposit balances during the year ended, December 31, 2023 . 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of $677.3 million and $843.4 million at December 31, 2023, and December 31, 2022. The Company does not have material deposit concentration risk to any significant market, industry or individual at December 31, 2023.</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maturity ranges of certificates of deposit, as of December 31, 2023, that meet or exceed the FDIC insurance limit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 31, 2023</w:t>
            </w:r>
          </w:p>
        </w:tc>
      </w:tr>
      <w:tr>
        <w:trPr>
          <w:trHeight w:val="21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25,368</w:t>
            </w:r>
          </w:p>
        </w:tc>
      </w:tr>
      <w:tr>
        <w:trPr>
          <w:trHeight w:val="213"/>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39,833</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23,309</w:t>
            </w:r>
          </w:p>
        </w:tc>
      </w:tr>
      <w:tr>
        <w:trPr>
          <w:trHeight w:val="21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3,797</w:t>
            </w: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92,307</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shareholders’ equity at December 31, 2023, was $314.8 million, compared to $273.5 million at December 31, 2022. Shareholders’ equity increased by $41.3 million primarily due to lower unrealized losses from the AFS securities portfolio in accumulated other comprehensive income. Overall, accumulated other comprehensive loss decreased by $36.0 million as a result of an increase in the fair value of investment securities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 See </w:t>
      </w:r>
      <w:r>
        <w:rPr>
          <w:rFonts w:ascii="Times New Roman" w:cs="Times New Roman" w:eastAsia="Times New Roman" w:hAnsi="Times New Roman"/>
          <w:sz w:val="18"/>
          <w:szCs w:val="18"/>
          <w:u w:val="single" w:color="auto"/>
          <w:color w:val="0000FF"/>
        </w:rPr>
        <w:t>Item 7. — Management’s Discussion and Analysis of Financial Condition and Results of Operations</w:t>
      </w:r>
      <w:r>
        <w:rPr>
          <w:rFonts w:ascii="Times New Roman" w:cs="Times New Roman" w:eastAsia="Times New Roman" w:hAnsi="Times New Roman"/>
          <w:sz w:val="18"/>
          <w:szCs w:val="18"/>
          <w:color w:val="auto"/>
        </w:rPr>
        <w:t>, Recent Events in the Financial Services Industry.</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hedge some or all of our interest rate risk will be successful. See </w:t>
      </w:r>
      <w:r>
        <w:rPr>
          <w:rFonts w:ascii="Times New Roman" w:cs="Times New Roman" w:eastAsia="Times New Roman" w:hAnsi="Times New Roman"/>
          <w:sz w:val="18"/>
          <w:szCs w:val="18"/>
          <w:u w:val="single" w:color="auto"/>
          <w:color w:val="0000FF"/>
        </w:rPr>
        <w:t>Note 13 — Derivatives</w:t>
      </w:r>
      <w:r>
        <w:rPr>
          <w:rFonts w:ascii="Times New Roman" w:cs="Times New Roman" w:eastAsia="Times New Roman" w:hAnsi="Times New Roman"/>
          <w:sz w:val="18"/>
          <w:szCs w:val="18"/>
          <w:color w:val="auto"/>
        </w:rPr>
        <w:t xml:space="preserve"> in Notes to Consolidated Financial Statements for a discussion of our hedging activity.</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liabilities, through the management of its investment portfolio, its offerings of loan and selected deposit terms, and through wholesale funding.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funding consists of, but is not limited to, borrowings with the FHLB, federal funds purchased, and brokered time deposits.</w:t>
      </w:r>
    </w:p>
    <w:p>
      <w:pPr>
        <w:spacing w:after="0" w:line="15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374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19"/>
        </w:trPr>
        <w:tc>
          <w:tcPr>
            <w:tcW w:w="36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 in Interest Rates (in Basis Points)</w:t>
            </w: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37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r>
      <w:tr>
        <w:trPr>
          <w:trHeight w:val="213"/>
        </w:trPr>
        <w:tc>
          <w:tcPr>
            <w:tcW w:w="3580" w:type="dxa"/>
            <w:vAlign w:val="bottom"/>
            <w:tcBorders>
              <w:top w:val="single" w:sz="8" w:color="auto"/>
            </w:tcBorders>
            <w:shd w:val="clear" w:color="auto" w:fill="CCEEFF"/>
          </w:tcPr>
          <w:p>
            <w:pPr>
              <w:jc w:val="center"/>
              <w:ind w:left="3099"/>
              <w:spacing w:after="0"/>
              <w:rPr>
                <w:sz w:val="20"/>
                <w:szCs w:val="20"/>
                <w:color w:val="auto"/>
              </w:rPr>
            </w:pPr>
            <w:r>
              <w:rPr>
                <w:rFonts w:ascii="Times New Roman" w:cs="Times New Roman" w:eastAsia="Times New Roman" w:hAnsi="Times New Roman"/>
                <w:sz w:val="16"/>
                <w:szCs w:val="16"/>
                <w:color w:val="auto"/>
                <w:w w:val="99"/>
              </w:rPr>
              <w:t>300</w:t>
            </w:r>
          </w:p>
        </w:tc>
        <w:tc>
          <w:tcPr>
            <w:tcW w:w="8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auto"/>
            </w:tcBorders>
            <w:shd w:val="clear" w:color="auto" w:fill="CCEEFF"/>
          </w:tcPr>
          <w:p>
            <w:pPr>
              <w:ind w:left="3320"/>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auto"/>
            </w:tcBorders>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3580" w:type="dxa"/>
            <w:vAlign w:val="bottom"/>
          </w:tcPr>
          <w:p>
            <w:pPr>
              <w:jc w:val="center"/>
              <w:ind w:left="3099"/>
              <w:spacing w:after="0"/>
              <w:rPr>
                <w:sz w:val="20"/>
                <w:szCs w:val="20"/>
                <w:color w:val="auto"/>
              </w:rPr>
            </w:pPr>
            <w:r>
              <w:rPr>
                <w:rFonts w:ascii="Times New Roman" w:cs="Times New Roman" w:eastAsia="Times New Roman" w:hAnsi="Times New Roman"/>
                <w:sz w:val="16"/>
                <w:szCs w:val="16"/>
                <w:color w:val="auto"/>
                <w:w w:val="99"/>
              </w:rPr>
              <w:t>200</w:t>
            </w:r>
          </w:p>
        </w:tc>
        <w:tc>
          <w:tcPr>
            <w:tcW w:w="80" w:type="dxa"/>
            <w:vAlign w:val="bottom"/>
          </w:tcPr>
          <w:p>
            <w:pPr>
              <w:spacing w:after="0"/>
              <w:rPr>
                <w:sz w:val="18"/>
                <w:szCs w:val="18"/>
                <w:color w:val="auto"/>
              </w:rPr>
            </w:pPr>
          </w:p>
        </w:tc>
        <w:tc>
          <w:tcPr>
            <w:tcW w:w="3740" w:type="dxa"/>
            <w:vAlign w:val="bottom"/>
          </w:tcPr>
          <w:p>
            <w:pPr>
              <w:ind w:left="332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374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(6.2)</w:t>
            </w:r>
          </w:p>
        </w:tc>
      </w:tr>
      <w:tr>
        <w:trPr>
          <w:trHeight w:val="219"/>
        </w:trPr>
        <w:tc>
          <w:tcPr>
            <w:tcW w:w="3580" w:type="dxa"/>
            <w:vAlign w:val="bottom"/>
            <w:shd w:val="clear" w:color="auto" w:fill="CCEEFF"/>
          </w:tcPr>
          <w:p>
            <w:pPr>
              <w:jc w:val="center"/>
              <w:ind w:left="3099"/>
              <w:spacing w:after="0"/>
              <w:rPr>
                <w:sz w:val="20"/>
                <w:szCs w:val="20"/>
                <w:color w:val="auto"/>
              </w:rPr>
            </w:pPr>
            <w:r>
              <w:rPr>
                <w:rFonts w:ascii="Times New Roman" w:cs="Times New Roman" w:eastAsia="Times New Roman" w:hAnsi="Times New Roman"/>
                <w:sz w:val="16"/>
                <w:szCs w:val="16"/>
                <w:color w:val="auto"/>
                <w:w w:val="99"/>
              </w:rPr>
              <w:t>100</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3580" w:type="dxa"/>
            <w:vAlign w:val="bottom"/>
          </w:tcPr>
          <w:p>
            <w:pPr>
              <w:jc w:val="center"/>
              <w:ind w:left="3079"/>
              <w:spacing w:after="0"/>
              <w:rPr>
                <w:sz w:val="20"/>
                <w:szCs w:val="20"/>
                <w:color w:val="auto"/>
              </w:rPr>
            </w:pPr>
            <w:r>
              <w:rPr>
                <w:rFonts w:ascii="Times New Roman" w:cs="Times New Roman" w:eastAsia="Times New Roman" w:hAnsi="Times New Roman"/>
                <w:sz w:val="16"/>
                <w:szCs w:val="16"/>
                <w:color w:val="auto"/>
                <w:w w:val="97"/>
              </w:rPr>
              <w:t>(100)</w:t>
            </w:r>
          </w:p>
        </w:tc>
        <w:tc>
          <w:tcPr>
            <w:tcW w:w="80" w:type="dxa"/>
            <w:vAlign w:val="bottom"/>
          </w:tcPr>
          <w:p>
            <w:pPr>
              <w:spacing w:after="0"/>
              <w:rPr>
                <w:sz w:val="18"/>
                <w:szCs w:val="18"/>
                <w:color w:val="auto"/>
              </w:rPr>
            </w:pPr>
          </w:p>
        </w:tc>
        <w:tc>
          <w:tcPr>
            <w:tcW w:w="3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374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3580" w:type="dxa"/>
            <w:vAlign w:val="bottom"/>
            <w:shd w:val="clear" w:color="auto" w:fill="CCEEFF"/>
          </w:tcPr>
          <w:p>
            <w:pPr>
              <w:jc w:val="center"/>
              <w:ind w:left="3079"/>
              <w:spacing w:after="0"/>
              <w:rPr>
                <w:sz w:val="20"/>
                <w:szCs w:val="20"/>
                <w:color w:val="auto"/>
              </w:rPr>
            </w:pPr>
            <w:r>
              <w:rPr>
                <w:rFonts w:ascii="Times New Roman" w:cs="Times New Roman" w:eastAsia="Times New Roman" w:hAnsi="Times New Roman"/>
                <w:sz w:val="16"/>
                <w:szCs w:val="16"/>
                <w:color w:val="auto"/>
                <w:w w:val="97"/>
              </w:rPr>
              <w:t>(200)</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ind w:left="3260"/>
              <w:spacing w:after="0"/>
              <w:rPr>
                <w:sz w:val="20"/>
                <w:szCs w:val="20"/>
                <w:color w:val="auto"/>
              </w:rPr>
            </w:pPr>
            <w:r>
              <w:rPr>
                <w:rFonts w:ascii="Times New Roman" w:cs="Times New Roman" w:eastAsia="Times New Roman" w:hAnsi="Times New Roman"/>
                <w:sz w:val="16"/>
                <w:szCs w:val="16"/>
                <w:color w:val="auto"/>
              </w:rPr>
              <w:t>(5.8)</w:t>
            </w:r>
          </w:p>
        </w:tc>
      </w:tr>
    </w:tbl>
    <w:p>
      <w:pPr>
        <w:spacing w:after="0" w:line="23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December 31, 2023, and December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374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19"/>
        </w:trPr>
        <w:tc>
          <w:tcPr>
            <w:tcW w:w="36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 in Interest Rates (in Basis Points)</w:t>
            </w: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Percentage Change in EVE</w:t>
            </w:r>
          </w:p>
        </w:tc>
        <w:tc>
          <w:tcPr>
            <w:tcW w:w="374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Percentage Change in EVE</w:t>
            </w:r>
          </w:p>
        </w:tc>
      </w:tr>
      <w:tr>
        <w:trPr>
          <w:trHeight w:val="213"/>
        </w:trPr>
        <w:tc>
          <w:tcPr>
            <w:tcW w:w="3580" w:type="dxa"/>
            <w:vAlign w:val="bottom"/>
            <w:tcBorders>
              <w:top w:val="single" w:sz="8" w:color="auto"/>
            </w:tcBorders>
            <w:shd w:val="clear" w:color="auto" w:fill="CCEEFF"/>
          </w:tcPr>
          <w:p>
            <w:pPr>
              <w:jc w:val="center"/>
              <w:ind w:left="3099"/>
              <w:spacing w:after="0"/>
              <w:rPr>
                <w:sz w:val="20"/>
                <w:szCs w:val="20"/>
                <w:color w:val="auto"/>
              </w:rPr>
            </w:pPr>
            <w:r>
              <w:rPr>
                <w:rFonts w:ascii="Times New Roman" w:cs="Times New Roman" w:eastAsia="Times New Roman" w:hAnsi="Times New Roman"/>
                <w:sz w:val="16"/>
                <w:szCs w:val="16"/>
                <w:color w:val="auto"/>
                <w:w w:val="99"/>
              </w:rPr>
              <w:t>300</w:t>
            </w:r>
          </w:p>
        </w:tc>
        <w:tc>
          <w:tcPr>
            <w:tcW w:w="8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3"/>
        </w:trPr>
        <w:tc>
          <w:tcPr>
            <w:tcW w:w="3580" w:type="dxa"/>
            <w:vAlign w:val="bottom"/>
          </w:tcPr>
          <w:p>
            <w:pPr>
              <w:jc w:val="center"/>
              <w:ind w:left="3099"/>
              <w:spacing w:after="0"/>
              <w:rPr>
                <w:sz w:val="20"/>
                <w:szCs w:val="20"/>
                <w:color w:val="auto"/>
              </w:rPr>
            </w:pPr>
            <w:r>
              <w:rPr>
                <w:rFonts w:ascii="Times New Roman" w:cs="Times New Roman" w:eastAsia="Times New Roman" w:hAnsi="Times New Roman"/>
                <w:sz w:val="16"/>
                <w:szCs w:val="16"/>
                <w:color w:val="auto"/>
                <w:w w:val="99"/>
              </w:rPr>
              <w:t>200</w:t>
            </w:r>
          </w:p>
        </w:tc>
        <w:tc>
          <w:tcPr>
            <w:tcW w:w="80" w:type="dxa"/>
            <w:vAlign w:val="bottom"/>
          </w:tcPr>
          <w:p>
            <w:pPr>
              <w:spacing w:after="0"/>
              <w:rPr>
                <w:sz w:val="18"/>
                <w:szCs w:val="18"/>
                <w:color w:val="auto"/>
              </w:rPr>
            </w:pPr>
          </w:p>
        </w:tc>
        <w:tc>
          <w:tcPr>
            <w:tcW w:w="3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3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3580" w:type="dxa"/>
            <w:vAlign w:val="bottom"/>
            <w:shd w:val="clear" w:color="auto" w:fill="CCEEFF"/>
          </w:tcPr>
          <w:p>
            <w:pPr>
              <w:jc w:val="center"/>
              <w:ind w:left="3099"/>
              <w:spacing w:after="0"/>
              <w:rPr>
                <w:sz w:val="20"/>
                <w:szCs w:val="20"/>
                <w:color w:val="auto"/>
              </w:rPr>
            </w:pPr>
            <w:r>
              <w:rPr>
                <w:rFonts w:ascii="Times New Roman" w:cs="Times New Roman" w:eastAsia="Times New Roman" w:hAnsi="Times New Roman"/>
                <w:sz w:val="16"/>
                <w:szCs w:val="16"/>
                <w:color w:val="auto"/>
                <w:w w:val="99"/>
              </w:rPr>
              <w:t>100</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3580" w:type="dxa"/>
            <w:vAlign w:val="bottom"/>
          </w:tcPr>
          <w:p>
            <w:pPr>
              <w:jc w:val="center"/>
              <w:ind w:left="3079"/>
              <w:spacing w:after="0"/>
              <w:rPr>
                <w:sz w:val="20"/>
                <w:szCs w:val="20"/>
                <w:color w:val="auto"/>
              </w:rPr>
            </w:pPr>
            <w:r>
              <w:rPr>
                <w:rFonts w:ascii="Times New Roman" w:cs="Times New Roman" w:eastAsia="Times New Roman" w:hAnsi="Times New Roman"/>
                <w:sz w:val="16"/>
                <w:szCs w:val="16"/>
                <w:color w:val="auto"/>
                <w:w w:val="97"/>
              </w:rPr>
              <w:t>(100)</w:t>
            </w:r>
          </w:p>
        </w:tc>
        <w:tc>
          <w:tcPr>
            <w:tcW w:w="80" w:type="dxa"/>
            <w:vAlign w:val="bottom"/>
          </w:tcPr>
          <w:p>
            <w:pPr>
              <w:spacing w:after="0"/>
              <w:rPr>
                <w:sz w:val="18"/>
                <w:szCs w:val="18"/>
                <w:color w:val="auto"/>
              </w:rPr>
            </w:pPr>
          </w:p>
        </w:tc>
        <w:tc>
          <w:tcPr>
            <w:tcW w:w="3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3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3580" w:type="dxa"/>
            <w:vAlign w:val="bottom"/>
            <w:shd w:val="clear" w:color="auto" w:fill="CCEEFF"/>
          </w:tcPr>
          <w:p>
            <w:pPr>
              <w:jc w:val="center"/>
              <w:ind w:left="3079"/>
              <w:spacing w:after="0"/>
              <w:rPr>
                <w:sz w:val="20"/>
                <w:szCs w:val="20"/>
                <w:color w:val="auto"/>
              </w:rPr>
            </w:pPr>
            <w:r>
              <w:rPr>
                <w:rFonts w:ascii="Times New Roman" w:cs="Times New Roman" w:eastAsia="Times New Roman" w:hAnsi="Times New Roman"/>
                <w:sz w:val="16"/>
                <w:szCs w:val="16"/>
                <w:color w:val="auto"/>
                <w:w w:val="97"/>
              </w:rPr>
              <w:t>(200)</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Audited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20" w:type="dxa"/>
            <w:vAlign w:val="bottom"/>
            <w:shd w:val="clear" w:color="auto" w:fill="CCEEFF"/>
          </w:tcPr>
          <w:p>
            <w:pPr>
              <w:spacing w:after="0"/>
              <w:rPr>
                <w:sz w:val="15"/>
                <w:szCs w:val="15"/>
                <w:color w:val="auto"/>
              </w:rPr>
            </w:pPr>
          </w:p>
        </w:tc>
        <w:tc>
          <w:tcPr>
            <w:tcW w:w="10360" w:type="dxa"/>
            <w:vAlign w:val="bottom"/>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No.: 173)</w:t>
            </w:r>
          </w:p>
        </w:tc>
        <w:tc>
          <w:tcPr>
            <w:tcW w:w="84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FF"/>
              </w:rPr>
              <w:t>90</w:t>
            </w: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Years Ended December 31, 2023, 2022, and 2021</w:t>
            </w:r>
          </w:p>
        </w:tc>
        <w:tc>
          <w:tcPr>
            <w:tcW w:w="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2023, 2022, and 2021</w:t>
            </w:r>
          </w:p>
        </w:tc>
        <w:tc>
          <w:tcPr>
            <w:tcW w:w="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54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Years Ended December 31, 2023, 2022, and 2021</w:t>
            </w:r>
          </w:p>
        </w:tc>
        <w:tc>
          <w:tcPr>
            <w:tcW w:w="1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3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8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1285875" cy="394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58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3"/>
          <w:szCs w:val="13"/>
          <w:color w:val="auto"/>
        </w:rPr>
        <w:t>Crowe LLP</w:t>
      </w:r>
    </w:p>
    <w:p>
      <w:pPr>
        <w:ind w:left="8800"/>
        <w:spacing w:after="0"/>
        <w:rPr>
          <w:sz w:val="20"/>
          <w:szCs w:val="20"/>
          <w:color w:val="auto"/>
        </w:rPr>
      </w:pPr>
      <w:r>
        <w:rPr>
          <w:rFonts w:ascii="Times New Roman" w:cs="Times New Roman" w:eastAsia="Times New Roman" w:hAnsi="Times New Roman"/>
          <w:sz w:val="11"/>
          <w:szCs w:val="11"/>
          <w:color w:val="auto"/>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Burke &amp; Herbert Financial Services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Alexandria, Virginia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Burke &amp; Herbert Financial Services Corp. (the "Company") as of December 31, 2023 and 2022, the related consolidated statements of income, comprehensive income (loss), changes in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three-year period ended December 31, 2023,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1 to the financial statements, the Company has changed its method of accounting for credit losses effective January 1, 2023, due to the adoption of Financial Accounting Standards Board (FASB) Accounting Standards Codification No.326, Financial Instruments – Credit Losses (ASC 326). The Company adopted the new credit loss standard using the modified retrospective method such that prior period amounts are not adjusted and continue to be reported in accordance with previously applicable generally accepted accounting principles.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/s/Crowe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with banks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41,171</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1,371,757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at cost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at fair value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1,887,221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loans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1,866,182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3,617,579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3,562,898</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960,692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1,959,708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2,920,400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343,100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3,302,829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3,289,445</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(see Note 14)</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$1.00 par value per share; 2,000,000 shares authorized; no shares issued or outstanding</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$0.50 par value; 20,000,000 shares authorized and 8,000,000 issued at December 31, 2023, and December 31,</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4"/>
        </w:trPr>
        <w:tc>
          <w:tcPr>
            <w:tcW w:w="80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2022; 7,428,710 shares outstanding at December 31, 2023, and 7,425,760 shares outstanding at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424,391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571,290 shares, at cost, at December 31, 2023, and 574,240 shares, at cost, at December 31, 2022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3,617,579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3,562,898</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including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96,603</w:t>
            </w:r>
          </w:p>
        </w:tc>
      </w:tr>
      <w:tr>
        <w:trPr>
          <w:trHeight w:val="250"/>
        </w:trPr>
        <w:tc>
          <w:tcPr>
            <w:tcW w:w="6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 loans and available-for-sale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 - off-balance sheet credit exposures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provision for (recapture of) credit losses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after credit loss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97,605</w:t>
            </w:r>
          </w:p>
        </w:tc>
      </w:tr>
      <w:tr>
        <w:trPr>
          <w:trHeight w:val="250"/>
        </w:trPr>
        <w:tc>
          <w:tcPr>
            <w:tcW w:w="6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Fiduciary and wealth management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and fees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on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company-owned life insurance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r>
      <w:tr>
        <w:trPr>
          <w:trHeight w:val="250"/>
        </w:trPr>
        <w:tc>
          <w:tcPr>
            <w:tcW w:w="6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wages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Pensions and other employee benefits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rentals, depreciation and maintenance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74,414</w:t>
            </w:r>
          </w:p>
        </w:tc>
      </w:tr>
      <w:tr>
        <w:trPr>
          <w:trHeight w:val="250"/>
        </w:trPr>
        <w:tc>
          <w:tcPr>
            <w:tcW w:w="6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70"/>
        </w:trPr>
        <w:tc>
          <w:tcPr>
            <w:tcW w:w="63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36,165</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43" w:lineRule="exact"/>
        <w:rPr>
          <w:sz w:val="20"/>
          <w:szCs w:val="20"/>
          <w:color w:val="auto"/>
        </w:rPr>
      </w:pPr>
    </w:p>
    <w:p>
      <w:pPr>
        <w:jc w:val="both"/>
        <w:ind w:left="7000"/>
        <w:spacing w:after="0"/>
        <w:tabs>
          <w:tab w:leader="none" w:pos="8640" w:val="left"/>
          <w:tab w:leader="none" w:pos="103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tabs>
          <w:tab w:leader="none" w:pos="636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Unrealized gains (losses) on securities:</w:t>
      </w:r>
    </w:p>
    <w:p>
      <w:pPr>
        <w:spacing w:after="0" w:line="23" w:lineRule="exact"/>
        <w:rPr>
          <w:sz w:val="20"/>
          <w:szCs w:val="20"/>
          <w:color w:val="auto"/>
        </w:rPr>
      </w:pPr>
    </w:p>
    <w:p>
      <w:pPr>
        <w:ind w:left="400" w:right="920" w:hanging="161"/>
        <w:spacing w:after="0" w:line="234" w:lineRule="auto"/>
        <w:rPr>
          <w:sz w:val="20"/>
          <w:szCs w:val="20"/>
          <w:color w:val="auto"/>
        </w:rPr>
      </w:pPr>
      <w:r>
        <w:rPr>
          <w:rFonts w:ascii="Times New Roman" w:cs="Times New Roman" w:eastAsia="Times New Roman" w:hAnsi="Times New Roman"/>
          <w:sz w:val="18"/>
          <w:szCs w:val="18"/>
          <w:color w:val="auto"/>
        </w:rPr>
        <w:t>Unrealized gain (loss) arising during period, net of tax of $(8,697) for 2023, $38,333 for 2022, and $4,236 for 2021</w:t>
      </w:r>
    </w:p>
    <w:p>
      <w:pPr>
        <w:spacing w:after="0" w:line="10" w:lineRule="exact"/>
        <w:rPr>
          <w:sz w:val="20"/>
          <w:szCs w:val="20"/>
          <w:color w:val="auto"/>
        </w:rPr>
      </w:pPr>
    </w:p>
    <w:p>
      <w:pPr>
        <w:ind w:left="400" w:right="300" w:hanging="161"/>
        <w:spacing w:after="0" w:line="237" w:lineRule="auto"/>
        <w:rPr>
          <w:sz w:val="20"/>
          <w:szCs w:val="20"/>
          <w:color w:val="auto"/>
        </w:rPr>
      </w:pPr>
      <w:r>
        <w:rPr>
          <w:rFonts w:ascii="Times New Roman" w:cs="Times New Roman" w:eastAsia="Times New Roman" w:hAnsi="Times New Roman"/>
          <w:sz w:val="18"/>
          <w:szCs w:val="18"/>
          <w:color w:val="auto"/>
        </w:rPr>
        <w:t>Reclassification adjustment for loss (gain) on securities, net of tax of $(24) for 2023, $(95) for 2022, and ($1)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400" w:right="440" w:hanging="161"/>
        <w:spacing w:after="0" w:line="237" w:lineRule="auto"/>
        <w:rPr>
          <w:sz w:val="20"/>
          <w:szCs w:val="20"/>
          <w:color w:val="auto"/>
        </w:rPr>
      </w:pPr>
      <w:r>
        <w:rPr>
          <w:rFonts w:ascii="Times New Roman" w:cs="Times New Roman" w:eastAsia="Times New Roman" w:hAnsi="Times New Roman"/>
          <w:sz w:val="18"/>
          <w:szCs w:val="18"/>
          <w:color w:val="auto"/>
        </w:rPr>
        <w:t>Reclassification adjustment for loss (gain) on fair value hedge, net of tax of $(215) for 2023, $— for 2022, and $— for 2021</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400" w:right="420" w:hanging="161"/>
        <w:spacing w:after="0" w:line="234" w:lineRule="auto"/>
        <w:rPr>
          <w:sz w:val="20"/>
          <w:szCs w:val="20"/>
          <w:color w:val="auto"/>
        </w:rPr>
      </w:pPr>
      <w:r>
        <w:rPr>
          <w:rFonts w:ascii="Times New Roman" w:cs="Times New Roman" w:eastAsia="Times New Roman" w:hAnsi="Times New Roman"/>
          <w:sz w:val="18"/>
          <w:szCs w:val="18"/>
          <w:color w:val="auto"/>
        </w:rPr>
        <w:t>Changes in pension plan benefits, net of tax of $(342) for 2023, $263 for 2022, and ($81) for 2021</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Unrealized gain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400" w:right="380" w:hanging="161"/>
        <w:spacing w:after="0" w:line="234" w:lineRule="auto"/>
        <w:rPr>
          <w:sz w:val="20"/>
          <w:szCs w:val="20"/>
          <w:color w:val="auto"/>
        </w:rPr>
      </w:pPr>
      <w:r>
        <w:rPr>
          <w:rFonts w:ascii="Times New Roman" w:cs="Times New Roman" w:eastAsia="Times New Roman" w:hAnsi="Times New Roman"/>
          <w:sz w:val="18"/>
          <w:szCs w:val="18"/>
          <w:color w:val="auto"/>
        </w:rPr>
        <w:t>Unrealized holding gain (loss) on cash flow hedge, net of tax of $75 for 2023, $457 for 2022, and $— for 2021</w:t>
      </w:r>
    </w:p>
    <w:p>
      <w:pPr>
        <w:spacing w:after="0" w:line="10" w:lineRule="exact"/>
        <w:rPr>
          <w:sz w:val="20"/>
          <w:szCs w:val="20"/>
          <w:color w:val="auto"/>
        </w:rPr>
      </w:pPr>
    </w:p>
    <w:p>
      <w:pPr>
        <w:ind w:left="400" w:right="480" w:hanging="161"/>
        <w:spacing w:after="0" w:line="237" w:lineRule="auto"/>
        <w:rPr>
          <w:sz w:val="20"/>
          <w:szCs w:val="20"/>
          <w:color w:val="auto"/>
        </w:rPr>
      </w:pPr>
      <w:r>
        <w:rPr>
          <w:rFonts w:ascii="Times New Roman" w:cs="Times New Roman" w:eastAsia="Times New Roman" w:hAnsi="Times New Roman"/>
          <w:sz w:val="18"/>
          <w:szCs w:val="18"/>
          <w:color w:val="auto"/>
        </w:rPr>
        <w:t>Reclassification adjustment for losses (gains) included in net income, net of tax of ($367) for 2023, $(35) for 2022, and $—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22,692</w:t>
            </w: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44,013</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36,165</w:t>
            </w:r>
          </w:p>
        </w:tc>
      </w:tr>
      <w:tr>
        <w:trPr>
          <w:trHeight w:val="873"/>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32,718</w:t>
            </w: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(15,933)</w:t>
            </w:r>
          </w:p>
        </w:tc>
      </w:tr>
      <w:tr>
        <w:trPr>
          <w:trHeight w:val="418"/>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8"/>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810</w:t>
            </w:r>
          </w:p>
        </w:tc>
        <w:tc>
          <w:tcPr>
            <w:tcW w:w="4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1,286</w:t>
            </w: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648"/>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1,382</w:t>
            </w: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2">
            <w:col w:w="6640" w:space="720"/>
            <w:col w:w="3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(146,450)</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(15,625)</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4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2"/>
                <w:szCs w:val="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2"/>
                <w:szCs w:val="2"/>
                <w:color w:val="auto"/>
              </w:rPr>
            </w:pPr>
          </w:p>
        </w:tc>
        <w:tc>
          <w:tcPr>
            <w:tcW w:w="11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7,448,080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384,877</w:t>
            </w:r>
          </w:p>
        </w:tc>
        <w:tc>
          <w:tcPr>
            <w:tcW w:w="0" w:type="dxa"/>
            <w:vAlign w:val="bottom"/>
          </w:tcPr>
          <w:p>
            <w:pPr>
              <w:spacing w:after="0"/>
              <w:rPr>
                <w:sz w:val="1"/>
                <w:szCs w:val="1"/>
                <w:color w:val="auto"/>
              </w:rPr>
            </w:pPr>
          </w:p>
        </w:tc>
      </w:tr>
      <w:tr>
        <w:trPr>
          <w:trHeight w:val="213"/>
        </w:trPr>
        <w:tc>
          <w:tcPr>
            <w:tcW w:w="2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36,165</w:t>
            </w: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Other comprehensive income</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(loss)</w:t>
            </w: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(Purchase) sale of treasury</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0" w:type="dxa"/>
            <w:vAlign w:val="bottom"/>
          </w:tcPr>
          <w:p>
            <w:pPr>
              <w:spacing w:after="0"/>
              <w:rPr>
                <w:sz w:val="1"/>
                <w:szCs w:val="1"/>
                <w:color w:val="auto"/>
              </w:rPr>
            </w:pPr>
          </w:p>
        </w:tc>
      </w:tr>
      <w:tr>
        <w:trPr>
          <w:trHeight w:val="213"/>
        </w:trPr>
        <w:tc>
          <w:tcPr>
            <w:tcW w:w="2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net</w:t>
            </w: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dividends, declared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(14,871)</w:t>
            </w:r>
          </w:p>
        </w:tc>
        <w:tc>
          <w:tcPr>
            <w:tcW w:w="0" w:type="dxa"/>
            <w:vAlign w:val="bottom"/>
          </w:tcPr>
          <w:p>
            <w:pPr>
              <w:spacing w:after="0"/>
              <w:rPr>
                <w:sz w:val="1"/>
                <w:szCs w:val="1"/>
                <w:color w:val="auto"/>
              </w:rPr>
            </w:pPr>
          </w:p>
        </w:tc>
      </w:tr>
      <w:tr>
        <w:trPr>
          <w:trHeight w:val="162"/>
        </w:trPr>
        <w:tc>
          <w:tcPr>
            <w:tcW w:w="23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3"/>
        </w:trPr>
        <w:tc>
          <w:tcPr>
            <w:tcW w:w="2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expense, net</w:t>
            </w: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7,423,760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389,627</w:t>
            </w:r>
          </w:p>
        </w:tc>
        <w:tc>
          <w:tcPr>
            <w:tcW w:w="0" w:type="dxa"/>
            <w:vAlign w:val="bottom"/>
          </w:tcPr>
          <w:p>
            <w:pPr>
              <w:spacing w:after="0"/>
              <w:rPr>
                <w:sz w:val="1"/>
                <w:szCs w:val="1"/>
                <w:color w:val="auto"/>
              </w:rPr>
            </w:pPr>
          </w:p>
        </w:tc>
      </w:tr>
      <w:tr>
        <w:trPr>
          <w:trHeight w:val="207"/>
        </w:trPr>
        <w:tc>
          <w:tcPr>
            <w:tcW w:w="2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44,013</w:t>
            </w: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Other comprehensive income</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(146,450)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(loss)</w:t>
            </w: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(Purchase) sale of treasury</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3"/>
        </w:trPr>
        <w:tc>
          <w:tcPr>
            <w:tcW w:w="2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net</w:t>
            </w: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dividends, declared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(15,742)</w:t>
            </w:r>
          </w:p>
        </w:tc>
        <w:tc>
          <w:tcPr>
            <w:tcW w:w="0" w:type="dxa"/>
            <w:vAlign w:val="bottom"/>
          </w:tcPr>
          <w:p>
            <w:pPr>
              <w:spacing w:after="0"/>
              <w:rPr>
                <w:sz w:val="1"/>
                <w:szCs w:val="1"/>
                <w:color w:val="auto"/>
              </w:rPr>
            </w:pPr>
          </w:p>
        </w:tc>
      </w:tr>
      <w:tr>
        <w:trPr>
          <w:trHeight w:val="162"/>
        </w:trPr>
        <w:tc>
          <w:tcPr>
            <w:tcW w:w="23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0" w:type="dxa"/>
            <w:vAlign w:val="bottom"/>
          </w:tcPr>
          <w:p>
            <w:pPr>
              <w:spacing w:after="0"/>
              <w:rPr>
                <w:sz w:val="1"/>
                <w:szCs w:val="1"/>
                <w:color w:val="auto"/>
              </w:rPr>
            </w:pPr>
          </w:p>
        </w:tc>
      </w:tr>
      <w:tr>
        <w:trPr>
          <w:trHeight w:val="213"/>
        </w:trPr>
        <w:tc>
          <w:tcPr>
            <w:tcW w:w="2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expense, net</w:t>
            </w: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7,425,760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273,453</w:t>
            </w:r>
          </w:p>
        </w:tc>
        <w:tc>
          <w:tcPr>
            <w:tcW w:w="0" w:type="dxa"/>
            <w:vAlign w:val="bottom"/>
          </w:tcPr>
          <w:p>
            <w:pPr>
              <w:spacing w:after="0"/>
              <w:rPr>
                <w:sz w:val="1"/>
                <w:szCs w:val="1"/>
                <w:color w:val="auto"/>
              </w:rPr>
            </w:pPr>
          </w:p>
        </w:tc>
      </w:tr>
      <w:tr>
        <w:trPr>
          <w:trHeight w:val="207"/>
        </w:trPr>
        <w:tc>
          <w:tcPr>
            <w:tcW w:w="2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22,692</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CECL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0" w:type="dxa"/>
            <w:vAlign w:val="bottom"/>
          </w:tcPr>
          <w:p>
            <w:pPr>
              <w:spacing w:after="0"/>
              <w:rPr>
                <w:sz w:val="1"/>
                <w:szCs w:val="1"/>
                <w:color w:val="auto"/>
              </w:rPr>
            </w:pPr>
          </w:p>
        </w:tc>
      </w:tr>
      <w:tr>
        <w:trPr>
          <w:trHeight w:val="162"/>
        </w:trPr>
        <w:tc>
          <w:tcPr>
            <w:tcW w:w="23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Other comprehensive income</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36,001</w:t>
            </w:r>
          </w:p>
        </w:tc>
        <w:tc>
          <w:tcPr>
            <w:tcW w:w="0" w:type="dxa"/>
            <w:vAlign w:val="bottom"/>
          </w:tcPr>
          <w:p>
            <w:pPr>
              <w:spacing w:after="0"/>
              <w:rPr>
                <w:sz w:val="1"/>
                <w:szCs w:val="1"/>
                <w:color w:val="auto"/>
              </w:rPr>
            </w:pPr>
          </w:p>
        </w:tc>
      </w:tr>
      <w:tr>
        <w:trPr>
          <w:trHeight w:val="213"/>
        </w:trPr>
        <w:tc>
          <w:tcPr>
            <w:tcW w:w="2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(loss)</w:t>
            </w: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(Purchase) sale of treasury</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 net</w:t>
            </w: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Cash dividends, paid and</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(16,298)</w:t>
            </w:r>
          </w:p>
        </w:tc>
        <w:tc>
          <w:tcPr>
            <w:tcW w:w="0" w:type="dxa"/>
            <w:vAlign w:val="bottom"/>
          </w:tcPr>
          <w:p>
            <w:pPr>
              <w:spacing w:after="0"/>
              <w:rPr>
                <w:sz w:val="1"/>
                <w:szCs w:val="1"/>
                <w:color w:val="auto"/>
              </w:rPr>
            </w:pPr>
          </w:p>
        </w:tc>
      </w:tr>
      <w:tr>
        <w:trPr>
          <w:trHeight w:val="216"/>
        </w:trPr>
        <w:tc>
          <w:tcPr>
            <w:tcW w:w="2380" w:type="dxa"/>
            <w:vAlign w:val="bottom"/>
          </w:tcPr>
          <w:p>
            <w:pPr>
              <w:ind w:left="400"/>
              <w:spacing w:after="0" w:line="216" w:lineRule="exact"/>
              <w:rPr>
                <w:sz w:val="20"/>
                <w:szCs w:val="20"/>
                <w:color w:val="auto"/>
              </w:rPr>
            </w:pPr>
            <w:r>
              <w:rPr>
                <w:rFonts w:ascii="Times New Roman" w:cs="Times New Roman" w:eastAsia="Times New Roman" w:hAnsi="Times New Roman"/>
                <w:sz w:val="16"/>
                <w:szCs w:val="16"/>
                <w:color w:val="auto"/>
              </w:rPr>
              <w:t>accrued</w:t>
            </w:r>
            <w:r>
              <w:rPr>
                <w:rFonts w:ascii="Times New Roman" w:cs="Times New Roman" w:eastAsia="Times New Roman" w:hAnsi="Times New Roman"/>
                <w:sz w:val="21"/>
                <w:szCs w:val="21"/>
                <w:color w:val="auto"/>
                <w:vertAlign w:val="superscript"/>
              </w:rPr>
              <w:t>(1)</w:t>
            </w:r>
          </w:p>
        </w:tc>
        <w:tc>
          <w:tcPr>
            <w:tcW w:w="1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expense, net</w:t>
            </w: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7,428,710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427,333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314,750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8"/>
        <w:spacing w:after="0" w:line="287" w:lineRule="auto"/>
        <w:tabs>
          <w:tab w:leader="none" w:pos="165"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dividends, paid and accrued for the year ending December 31, 2023, include dividends paid of $15,747 thousand and $551 thousand of dividends accrued on share-based compensation but unpaid as of December 31, 2023.</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 of fixed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housing tax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Realized loss on sales of available-for-sale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from company-owned life insurance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Accretion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loans held-for-sale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sales of loans held-for-sale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50,194</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fair value of loans held-for-sale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Originations of loans held-for-sale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(42,969)</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in accrued interest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Decrease in 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in accrued interest payable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54,952</w:t>
            </w:r>
          </w:p>
        </w:tc>
      </w:tr>
      <w:tr>
        <w:trPr>
          <w:trHeight w:val="250"/>
        </w:trPr>
        <w:tc>
          <w:tcPr>
            <w:tcW w:w="6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5"/>
        </w:trPr>
        <w:tc>
          <w:tcPr>
            <w:tcW w:w="63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Proceeds from maturities, prepayments, and calls of securities available-for-sale,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194,578</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sales of securities available-for-sale,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securities available-for-sale,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(669,951)</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Sales of restricted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restricted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company-owned life insurance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decrease in loans made to customers,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88,716</w:t>
            </w:r>
          </w:p>
        </w:tc>
      </w:tr>
      <w:tr>
        <w:trPr>
          <w:trHeight w:val="223"/>
        </w:trPr>
        <w:tc>
          <w:tcPr>
            <w:tcW w:w="6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(384,126)</w:t>
            </w:r>
          </w:p>
        </w:tc>
      </w:tr>
      <w:tr>
        <w:trPr>
          <w:trHeight w:val="250"/>
        </w:trPr>
        <w:tc>
          <w:tcPr>
            <w:tcW w:w="6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increase (decrease) in non-interest-bearing accounts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78,838</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increase (decrease) in interest-bearing accounts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65,133</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(decrease) in other short-term borrowings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finance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employee stock purchase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dividends paid</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(14,871)</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Treasury stock transactions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23"/>
        </w:trPr>
        <w:tc>
          <w:tcPr>
            <w:tcW w:w="6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177,833</w:t>
            </w:r>
          </w:p>
        </w:tc>
      </w:tr>
      <w:tr>
        <w:trPr>
          <w:trHeight w:val="22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Beginning of year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228,704</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End of year</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77,363</w:t>
            </w:r>
          </w:p>
        </w:tc>
      </w:tr>
      <w:tr>
        <w:trPr>
          <w:trHeight w:val="250"/>
        </w:trPr>
        <w:tc>
          <w:tcPr>
            <w:tcW w:w="6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paid to depositors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paid on other borrowed funds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paid on finance lease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available-for-sale securities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pension plan benefits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arising from obtaining right-of-use assets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 &amp; equipment transferred to property held-for-sale</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portfolio loans to loans held-for-sale</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of sale from loans held-for-sale</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principles of consolidation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include Burke &amp; Herbert Financial Services Corp. (“Burke &amp; Herbert”) and its wholly-owned subsidiary Burke</w:t>
      </w:r>
    </w:p>
    <w:p>
      <w:pPr>
        <w:spacing w:after="0" w:line="27" w:lineRule="exact"/>
        <w:rPr>
          <w:sz w:val="20"/>
          <w:szCs w:val="20"/>
          <w:color w:val="auto"/>
        </w:rPr>
      </w:pPr>
    </w:p>
    <w:p>
      <w:pPr>
        <w:ind w:firstLine="8"/>
        <w:spacing w:after="0" w:line="260" w:lineRule="auto"/>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Herbert Bank &amp; Trust Company (“the Bank”), together referred to as “the Company.” Intercompany transactions and balances are eliminated in consolidation.</w:t>
      </w:r>
    </w:p>
    <w:p>
      <w:pPr>
        <w:spacing w:after="0" w:line="1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on September 14, 2022, to serve as the holding company for the Bank. Burke &amp; Herbert commenced operations as a bank holding company on October 1, 2022, following a reorganization transaction in which it became the Bank’s holding company. This transaction was treated as an internal reorganization as all shareholders of the Bank became shareholders of Burke &amp; Herbert. In September 2023, Burke &amp; Herbert elected to be a financial holding company. As a financial holding company, Burke &amp; Herbert is subject to regulation and supervision by the Federal Reserve. Burke &amp; Herbert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it has 23 branches throughout the Northern Virginia region and commercial loan offices in Fredericksburg, Loudoun County, and Richmond, Virginia, and in Bethesda, Maryland.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Summit Financial Group, Inc.</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24, 2023, the Company and Summit Financial Group, Inc. (“Summit”), entered into an Agreement and Plan of Reorganization and Plan of Merger (the “merger agreement”) pursuant to which Summit will merge with and into Burke &amp; Herbert, with Burke &amp; Herbert as the continuing corporation (the “merger”). Immediately following the merger, Summit Community Bank, Inc., a West Virginia banking corporation (“SCB”) and a wholly-owned direct subsidiary of Summit, will merge with and into the Bank, with the Bank as the continuing bank (the “bank merger,” and together with the merger, the “mergers”). In the merger, Summit shareholders will receive 0.5043 shares of Burke &amp; Herbert common stock for each share of Summit common stock they own (the “exchange ratio”), subject to the payment of cash in lieu of fractional shares. In addition, each share of Summit series 2021 preferred stock issued and outstanding immediately prior to the effective time of the merger will be converted into the right to receive one share of a newly created series of Burke &amp; Herbert preferred stock having rights, preferences, privileges, and voting powers and limitations and restrictions thereof that are not materially less or more favorable to the holders of the Summit series 2021 preferred stock.</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6th, the requisite approvals of the Company’s and Summit’s stockholders were received, and the completion of the merger remains subject to the receipt of all required regulatory approvals and the fulfillment of other customary closing conditions.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recognition and disclosure through March 22, 2024, which is the date the financial statements were available to be issued.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prepare financial statements in conformity with U.S. generally accepted accounting principles (“GAAP”), management makes estimates and assumptions based on available information that affects the reported amounts of assets and liabilities and disclosure of contingent assets and liabilities at the date of the financial statements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amounts of revenues and expenses during the reporting period. Actual results could differ from those estimates.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cash flows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reporting cash flows, cash and cash equivalents include cash on hand and amounts due from banks, including cash items in process of clearing with maturities fewer than 90 days. Cash flows from customer loans, federal funds purchased, securities sold under agreements to repurchase, and deposits are reported on a net basis.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Restriction on cash</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reserve balances were required at December 31, 2023, and December 31, 2022. There was no reserve requirement with the Federal Reserve as of December 31, 2023, or December 31,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determines the appropriate classification of debt securities at the time of purchase. Debt securities that the Company has both the positive intent and ability to hold to maturity are classified as held to maturity and are reported at cost, adjusted for amortization of premiums and accretion of discounts. Debt securities that the Company intends to hold for an indefinite period of time, but not necessarily to maturity, are classified as available-for-sale and are reported at fair value. Unrealized gains and losses on investments classified as available-for-sale have been accounted for as a separate component of accumulated other comprehensive income or loss, net of the related deferred tax effect.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income includes amortization of purchase premium or discount. Premiums and discounts on securities are recognized in interest income over the terms of the securities. Any decision to sell a security classified as available-for-sale would be based on various factors, including significant movements in interest rates, changes in the maturity mix of the Company’s assets and liabilities, liquidity needs, regulatory capital considerations, and other similar factors. Gains and losses on the sale of securities are recorded on the trade date and are determined using the specific identification method.</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debt security is placed on non-accrual status at the time any principal or interest payments become more than 90 days delinquent. Interest accrued but not received for a security placed on non-accrual is reversed against interest income.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(“ACL”) - available-for-sale debt securities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evaluates all available-for-sale (“AFS”) debt securities in an unrealized loss position on a quarterly basis, and more frequently when economic or market conditions warrant such evaluation.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limited by the amount that the fair value is less than the amortized cost basis. Any impairment that has not been recorded through an ACL is recognized in other comprehensive income.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the ACL are recorded as credit loss expense (or recapture). Losses are charged against the allowance when management believes the uncollectibility of an AFS security is confirmed or when either of the criteria regarding intent or requirement to sell is met.</w:t>
      </w:r>
    </w:p>
    <w:p>
      <w:pPr>
        <w:spacing w:after="0" w:line="108" w:lineRule="exact"/>
        <w:rPr>
          <w:sz w:val="20"/>
          <w:szCs w:val="20"/>
          <w:color w:val="auto"/>
        </w:rPr>
      </w:pPr>
    </w:p>
    <w:p>
      <w:pPr>
        <w:ind w:left="340" w:right="480"/>
        <w:spacing w:after="0" w:line="438" w:lineRule="auto"/>
        <w:rPr>
          <w:sz w:val="20"/>
          <w:szCs w:val="20"/>
          <w:color w:val="auto"/>
        </w:rPr>
      </w:pPr>
      <w:r>
        <w:rPr>
          <w:rFonts w:ascii="Times New Roman" w:cs="Times New Roman" w:eastAsia="Times New Roman" w:hAnsi="Times New Roman"/>
          <w:sz w:val="18"/>
          <w:szCs w:val="18"/>
          <w:color w:val="auto"/>
        </w:rPr>
        <w:t xml:space="preserve">Accrued interest receivable on AFS debt securities totaled $7.5 million at December 31, 2023, and is excluded from the estimate of credit losses. </w:t>
      </w:r>
      <w:r>
        <w:rPr>
          <w:rFonts w:ascii="Times New Roman" w:cs="Times New Roman" w:eastAsia="Times New Roman" w:hAnsi="Times New Roman"/>
          <w:sz w:val="18"/>
          <w:szCs w:val="18"/>
          <w:b w:val="1"/>
          <w:bCs w:val="1"/>
          <w:i w:val="1"/>
          <w:iCs w:val="1"/>
          <w:color w:val="auto"/>
        </w:rPr>
        <w:t>Equity securities</w:t>
      </w:r>
    </w:p>
    <w:p>
      <w:pPr>
        <w:spacing w:after="0" w:line="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Equity securities are carried at fair value with changes in fair value reported in net income. Equity securities without readily determinable fair values are carried at cost, minus impairment, if any, plus or minus changes resulting from observable price changes in orderly transactions for the identical, or a similar, investment.</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Due to the nature of, and restrictions placed upon, certain equity securities have been classified as restricted stock and are carried at cost. These equity securities are not subject to the classifications above.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 commitments and related financial instruments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Loans held-for-sale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Loans held-for-sale are those loans the Company has the intent to sell in the foreseeable future. The Company has elected to use the fair value accounting option (“FVO”) for loans held-for-sale. Gains and losses on sales of loans are recognized at settlement dates and are determined by the difference between the sales proceeds and the fair value of the loans. All sales are made without recourse and are sold with servicing released.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commitments to originate loans whereby the interest rate on the loan is determined prior to funding (interest rate lock commitments). Interest rate lock commitments on mortgage loans to be held-for-sale are accounted for as free-standing derivatives. The period of time between issuance of a loan commitment and closing and sale of the loan generally ranges from 15 to 90 days. The Company protects itself from changes in interest rates through the use of best-efforts forward delivery commitments, whereby the Company commits to sell a loan at the time the borrower commits to an interest rate with the intent that the buyer has assumed interest rate risk on the loan. As a result, the Company is not exposed to significant losses, nor will it realize significant gains related to rate lock commitments due to changes in interest rates. The Company has elected to use the FVO for best effort forward sales commitments.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inception of a derivative contract, the Company designates the derivative as one of three types based on the Company’s intentions and belief as to the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attributable to the hedged risk, are recognized in current earnings as respective fair values changes. For a cash flow hedge, the gain or loss on the derivative is reported in other comprehensive income and is reclassified into earnings in the same periods during which the hedged transaction affects earnings. Changes in the fair value of derivatives not designated or that do not qualify for hedge accounting are reported currently in earnings as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Accrued settlements on derivatives that qualify for hedge accounting are recorded in interest income or interest expense based on the item being hedged. Accrued settlements on derivatives not designated or that do not qualify for hedge accounting are reported in non-interest income. Cash flows on hedges are classified in the cash flow statement the same as the cash flows of the items being hedged.</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probable of occurring, gains or losses that were accumulated in other comprehensive income are amortized into earnings over the same periods in which the hedged transactions will affect earnings.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exposed to losses if a counterparty fails to make its payments under a contract in which the Company is in the net receiving position. The Company anticipates that the counterparties will be able to fully satisfy their obligations under the agreements. All of the contracts to which the Company is a party settle monthly or quarterly. In addition, the Company obtains collateral above certain thresholds of the fair value of its derivatives for each dealer counterparty based upon their credit standing and the Company has netting agreements with the dealers with which it does business.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Loans that the Company has the intent and ability to hold for the foreseeable future or until maturity or payoff are reported at their outstanding unpaid principal balances, adjusted for partial charge-offs, the allowance for credit losses, and any deferred fees and costs on originated loans. Accrued interest receivable totaled $8.8 million on the Consolidated Balance Sheets and is excluded from the estimate of credit losses. Interest income is accrued on the unpaid principal balance. Loan origination fees, net of certain direct original costs, are deferred and recognized in interest income using the level-yield method without anticipating prepayments.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all loan portfolio segments, the accrual of interest income is discontinued at the time the loan becomes 90 days delinquent, unless the loan is well-secured and in process of collection. Loans also are placed on non-accrual if collection of principal or interest is considered impaired. Past-due status is based on the contractual terms of the loan. In all cases, loans are placed on nonaccrual or charged-off at an earlier date if collection of principal or interest is considered doubtful.</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interest income accrued, but not received, for loans placed on non-accrual is reversed against interest income. Interest income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For all portfolio segments, loans are returned to accrual status when all the principal and interest amounts contractually due are brought current, a history of on-time payments has again been established, and future payments are reasonably assured.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credit risk</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loans and commitments have been granted to customers in the Company’s market area; therefore, the Company’s exposure to credit risk is significantly affected by changes in the market area’s economy. Our customers are general depositors of the Company from the same market area. Some investments in state and municipal securities also involve governmental entities within the Company’s market area. The distribution of commitments to extend credit approximates the distribution of loans outstanding.</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 loans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in management’s judgement, reflects expected credit losses in the loan portfolio as of the balance sheet date. The estimate for expected credit losses is based on the evaluation of the size and current risk characteristics of the loan portfolio, past events, current conditions, reasonable and supportable forecasts of future economic conditions, and prepayment experience as related to credit contractual term information. The ACL is measured and recorded upon the initial recognition of a financial asset. The ACL is reduced by charge-offs, net of recoveries of previous losses, and is increased or decreased by a provision for (or recapture of) credit losses, which is recorded in the Consolidated Statements of Income.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ACL for expected credit losses is determined based on a quantitative assessment of two categories of loans: collectively evaluated loans and individually evaluated loans. In addition, the ACL also includes a qualitative component which adjusts the CECL model for risk factors that are not considered within the CECL model, but are relevant in assessing the expected credit losses within the loan portfolio.</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using a remaining useful life or weighted average remaining maturity (“WARM”) methodology to estimate its current expected credit losses. For purposes of calculating reserves in collectively evaluated loans, the ACL calculation segments the Company’s loan portfolio using federal call codes to group loans which share similar risk characteristics. In order to generate reasonable and supportable forecasts of loss rates over a two-year period, the ACL calculation utilizes macroeconomic variable loss drivers, which may include aggregate macroeconomic indicators pertaining to such items as equity market conditions or interest rates, as well as other variables that are portfolio-specific, such as those that pertain to the commercial real estate or residential loan portfolios. A straight-line reversion technique is used for the following four quarters, and in following quarters, the ACL calculation reverts to historical average loss rates.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risk factors considered by management include the following:</w:t>
      </w:r>
    </w:p>
    <w:p>
      <w:pPr>
        <w:spacing w:after="0" w:line="12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volume of loans;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Delinquency trends.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basis and are excluded from the collective evaluation for the ACL. Loans identified to be individually evaluated under CECL include loans on non-accrual status and may include accruing loans that do not share similar risk characteristics to other accruing loans collectively evaluated. A specific reserve analysis is applied to the individually evaluated loans, which considers collateral value, an observable market price, or the present value of the expected future cash flows.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specific reserve may be assigned if the measured value of the loan using one of the before mentioned methods is less than the current carrying value of the loan.</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CECL, for collateral-dependent loans, the Company has adopted the practical expedient to measure the ACL based on the fair value of the collateral. A loan is considered collateral-dependent when the Company determines foreclosure is probable or the borrower is experiencing financial difficulty and the Company expects repayment to be provided substantially through the operation or sale of the collateral. Collateral could be in the form of real estate, equipment, or business assets. An ACL may result for a collateral-dependent loan if the fair value of the underlying collateral, as of the reporting date, adjusted for expected costs to repair or sell, was less than the amortized cost basis of the loan. If repayment of the loan is instead dependent only on the operation, rather than the sale of the collateral, the measure of the ACL does not incorporate estimated costs to sell. For loans analyzed on the basis of projected future principal and interest cash flows, the Company will discount the expected cash flows at the effective interest rate of the loan, and an ACL would result if the present value of the expected cash flows was less than the amortized cost basis of the loan. When the discounted cash flow method is used to determine the ACL, management does not adjust the effective interest rate used to discount cash flows to incorporate expected prepayments.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 off-balance sheet credit exposures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 quarterly basis, the Company estimates expected credit losses over the contractual period in which the Company is exposed to credit risk via a contractual obligation to extend credit, unless that obligation is unconditionally cancellable by the Company. The ACL on off-balance sheet credit exposures is adjusted through the provision for credit losses on the Consolidated Statements of Income. The estimate includes consideration of the likelihood that funding will occur and an estimate of expected credit losses on commitments expected to be funded over its estimated life by loan segment at each balance sheet date under the CECL model using the same methodology as the loan portfolio. The ACL for unfunded commitments is included in accrued interest and other liabilities on the Company’s Consolidated Balance Sheets.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Premises and equipment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Land is carried at cost. Premises and equipment are stated at cost less accumulated depreciation. Buildings and related components are depreciated using the straight-line method with useful lives up to 40 years. Furniture, fixtures and equipment are depreciated using the straight-line method (or accelerated) method with useful lives ranging from 3 to 10 years. Maintenance and repairs are charged to expense as incurred and major improvements are capitalized.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Company-owned life insurance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purchased life insurance policies on certain employees. Company-owned life insurance is recorded at the amount that can be realized under the insurance contract at the balance sheet date, which is the cash surrender value adjusted for other charges or other amounts due that are probable at settlement.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owned (OREO)</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at the date of foreclosure less estimated costs of disposal, which establishes a new cost. After foreclosure, valuations periodically are performed by management and the foreclosed assets held-for-sale are carried at the lower of cost or fair value less estimated costs of disposal. Any write-down to fair value at the time of transfer to foreclosed assets is charged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allowance for credit losses. All subsequent gains on sale, losses on sale, and additional write-downs are included in net gains/(losses) on other real estate owned. Revenue and expenses from the operations of foreclosed assets are included in other non-interest income and other operating expenses.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in accordance with income tax accounting guidance. The Company has adopted the accounting guidance related to accounting for uncertainty in income taxes, which sets out a consistent framework to determine the appropriate level of tax reserves to maintain for uncertain tax positions.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recognizes interest and penalties on income taxes as a component of income tax expense.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Pension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was frozen to new participants on June 1, 2005. The Company’s funding policy for the defined benefit plan is to make annual contributions to the Plan in amounts that are determined based on actuarial valuations and recommendations and which meet the minimum funding requirements of the Employee Retirement Income Security Act of 1974.</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Authoritative accounting literature requires an employer to recognize the overfunded or underfunded status of a defined benefit postretirement plan as an asset or liability in its balance sheet and to recognize changes in the funded status in the year in which the changes occur through comprehensive income. The funded status of a benefit plan will be measured as the difference between plan assets at fair value and the benefit obligation. For a pension plan, the benefit obligation is the projected benefit obligation. For any other postretirement plan, the benefit obligation is the accumulated postretirement benefit obligation. Authoritative accounting literature also requires an employer to measure the funded status of a plan as of the date of its year-end balance sheet. The guidance also requires additional disclosure in the notes to financial statements about certain effects on net periodic benefit cost for the next fiscal year that arises from delayed recognition of the gains or losses, prior service costs or credits, and a transition asset or obligation.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401(k) plan &amp; other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a defined contribution plan (The Investment and Savings Plan) with a salary deferral provision, which covers all employees in the month following their date of hire if they have reached the age of 18. The 401(k) expense is the amount of the matching contributions. For the deferred compensation and supplemental retirement plan, the expense allocates the benefits over the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net income divided by the weighted average number of common shares outstanding during the period. The Company’s capital structure includes a share-based incentive plan, and an employee stock purchase plan, which may be dilutive to earnings per share (“EPS”). Diluted EPS is calculated by assuming dilution of common shares and adjusting common shares for compensation cost attributable to the share-based compensation plan and employee stock purchase plan. Earnings and dividends per share are restated for all stock splits and stock dividends through the date of issuance of the financial statements.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Trust assets and fees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Assets of the trust department, other than trust cash on deposit at the Company, are not included in these financial statements because they are not assets of the Company. Trust fees are recognized in income using the accrual method.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that there are currently any such matters that will have a material effect on the financial statements.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income (loss) consists of net income and other comprehensive income (loss), net of tax. Other comprehensive income (loss) includes unrealized gains and losses on securities available-for-sale, unrealized gains and losses on cash flow hedges, and changes in the funded status of the pension plan, which are also recognized as separate components of equity.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The Company leases certain locations for its operations. The Company records leases on the balance sheet in the form of a lease liability for the present value of future minimum payments under the lease terms and a right-of-use asset equal to the lease liability adjusted for items such as deferred or prepaid rent, lease incentives, and any impairment of the right-of-use asset. The discount rate used in determining the lease liability is based upon incremental borrowing rates the Company could obtain for similar loans as of the date of commencement or renewal. The Company does not record short-term leases with an initial lease term of one year or less on the consolidated balance sheets.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lease inception, the Company determines the lease term by considering the non-cancelable lease term and all optional renewal periods that the Company is reasonably certain to renew. The lease term is also used to calculate straight-line lease expense. Leasehold improvements are amortized over the shorter of the useful life and the estimated lease term. The Company’s leases do not contain residual value guarantees or material variable lease payments that will impact the Company’s ability to pay dividends or cause the Company to incur additional material expenses.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lease expense consists of a single lease cost allocated over the remaining lease term on a straight-line basis, variable lease expense, and any impairment of the right-of-use asset. Lease expense is included in occupancy expense on the Company’s consolidated statements of income. The Company’s variable lease expense includes rent escalators that are based on market conditions defined in the lease agreements. The amortization of the right-of-use asset arising from finance leases is expensed through occupancy expense and the interest on the related lease liability is expensed through other interest expense on the Company’s consolidated statements of income.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Fair values of financial instruments are estimated using relevant market information and other assumptions. Fair value estimates involve uncertainties and matters of significant judgment regarding interest rates,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prepayments, and other factors, especially in the absence of broad markets for particular items. Changes in assumptions or in market conditions could significantly affect the estimates.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Compensation cost is recognized for restricted stock units (“RSUs”) issued to employees, based on the fair value of these awards at the date of grant. The Company RSUs awards are all classified as equity under U.S. GAAP. Compensation cost is recognized on a straight-line basis over the requisite service period for the entire award. The Company’s accounting policy is to recognize forfeitures as they occur for all share-based compensation plans.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 reporting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in one segment – Community Banking and the financial performance of this one segment is used to make resource allocations and performance decisions.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prior year net income or shareholder’s equity.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2016-13, Financial Instruments - Credit Losses (Topic 326): </w:t>
      </w:r>
      <w:r>
        <w:rPr>
          <w:rFonts w:ascii="Times New Roman" w:cs="Times New Roman" w:eastAsia="Times New Roman" w:hAnsi="Times New Roman"/>
          <w:sz w:val="18"/>
          <w:szCs w:val="18"/>
          <w:i w:val="1"/>
          <w:iCs w:val="1"/>
          <w:color w:val="auto"/>
        </w:rPr>
        <w:t>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326”), as amended, which replaces the incurred loss methodology with an expected credit loss methodology that is referred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current expected credit loss methodology. The CECL methodology requires an estimate of credit losses for the remaining estimated life of the financial asset using historical experience, current conditions, as well as future forecasts, including reasonable and supportable forecasts and other forecast periods. CECL generally applies to financial assets measured at amortized cost and some off-balance sheet credit exposures, such as unfunded commitments to extend credit. Financial assets measured at amortized cost are presented as the net amount expected to be collected.</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that they will be required to sell.</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adopted ASC 326 and all related subsequent amendments thereto effective January 1, 2023, using the modified retrospective approach for all financial assets measured at amortized cost and off-balance sheet credit exposures. The adoption of the new CECL standard resulted in a cumulative-effect adjustment that increased the allowance for credit losses for loans by $4.1 million and increased the allowance for unfunded commitments by $274.8 thousand. Retained earnings, net of deferred taxes, decreased by $3.4 million. Results for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after January 1, 2023, are presented under ASU 2016-13, while prior period amounts continue to be reported in accordance with the incurred loss model under the previously applicable GAAP.</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impact of the adoption of CECL, and the transition away from the incurred loss method, on January 1, 2023. The impact to the ACL is presented at the loan segment level (in thousands):</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48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January 1, 2023</w:t>
            </w:r>
          </w:p>
        </w:tc>
        <w:tc>
          <w:tcPr>
            <w:tcW w:w="2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spacing w:after="0"/>
              <w:rPr>
                <w:sz w:val="21"/>
                <w:szCs w:val="21"/>
                <w:color w:val="auto"/>
              </w:rPr>
            </w:pPr>
          </w:p>
        </w:tc>
      </w:tr>
      <w:tr>
        <w:trPr>
          <w:trHeight w:val="169"/>
        </w:trPr>
        <w:tc>
          <w:tcPr>
            <w:tcW w:w="4820" w:type="dxa"/>
            <w:vAlign w:val="bottom"/>
          </w:tcPr>
          <w:p>
            <w:pPr>
              <w:spacing w:after="0"/>
              <w:rPr>
                <w:sz w:val="14"/>
                <w:szCs w:val="14"/>
                <w:color w:val="auto"/>
              </w:rPr>
            </w:pPr>
          </w:p>
        </w:tc>
        <w:tc>
          <w:tcPr>
            <w:tcW w:w="202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Reserves under Incurred</w:t>
            </w:r>
          </w:p>
        </w:tc>
        <w:tc>
          <w:tcPr>
            <w:tcW w:w="120" w:type="dxa"/>
            <w:vAlign w:val="bottom"/>
          </w:tcPr>
          <w:p>
            <w:pPr>
              <w:spacing w:after="0"/>
              <w:rPr>
                <w:sz w:val="14"/>
                <w:szCs w:val="14"/>
                <w:color w:val="auto"/>
              </w:rPr>
            </w:pPr>
          </w:p>
        </w:tc>
        <w:tc>
          <w:tcPr>
            <w:tcW w:w="188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color w:val="auto"/>
                <w:w w:val="99"/>
              </w:rPr>
              <w:t>Reserves under CECL</w:t>
            </w:r>
          </w:p>
        </w:tc>
        <w:tc>
          <w:tcPr>
            <w:tcW w:w="240" w:type="dxa"/>
            <w:vAlign w:val="bottom"/>
          </w:tcPr>
          <w:p>
            <w:pPr>
              <w:spacing w:after="0"/>
              <w:rPr>
                <w:sz w:val="14"/>
                <w:szCs w:val="14"/>
                <w:color w:val="auto"/>
              </w:rPr>
            </w:pPr>
          </w:p>
        </w:tc>
        <w:tc>
          <w:tcPr>
            <w:tcW w:w="17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Impact of CECL</w:t>
            </w:r>
          </w:p>
        </w:tc>
      </w:tr>
      <w:tr>
        <w:trPr>
          <w:trHeight w:val="239"/>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Loss Model</w:t>
            </w:r>
          </w:p>
        </w:tc>
        <w:tc>
          <w:tcPr>
            <w:tcW w:w="120" w:type="dxa"/>
            <w:vAlign w:val="bottom"/>
          </w:tcPr>
          <w:p>
            <w:pPr>
              <w:spacing w:after="0"/>
              <w:rPr>
                <w:sz w:val="20"/>
                <w:szCs w:val="20"/>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Model</w:t>
            </w:r>
          </w:p>
        </w:tc>
        <w:tc>
          <w:tcPr>
            <w:tcW w:w="240" w:type="dxa"/>
            <w:vAlign w:val="bottom"/>
          </w:tcPr>
          <w:p>
            <w:pPr>
              <w:spacing w:after="0"/>
              <w:rPr>
                <w:sz w:val="20"/>
                <w:szCs w:val="20"/>
                <w:color w:val="auto"/>
              </w:rPr>
            </w:pPr>
          </w:p>
        </w:tc>
        <w:tc>
          <w:tcPr>
            <w:tcW w:w="17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Adoption</w:t>
            </w:r>
          </w:p>
        </w:tc>
      </w:tr>
      <w:tr>
        <w:trPr>
          <w:trHeight w:val="214"/>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reserve</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1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155"/>
        </w:trPr>
        <w:tc>
          <w:tcPr>
            <w:tcW w:w="482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Allowance for credit losses on off-balance sheet credit</w:t>
            </w:r>
          </w:p>
        </w:tc>
        <w:tc>
          <w:tcPr>
            <w:tcW w:w="3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24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exposure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adopted ASC 326 using the prospective transition approach for debt securities for which other-than-temporary impairment had been recognized prior to January 1, 2023. As of December 31, 2022, the Company did not have any other-than-temporarily impaired investment securities. The Company did not record an ACL for securities upon adoption.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not to measure an ACL for accrued interest receivable and instead elected to reverse interest income on loans or securities that are placed on non-accrual status, which generally occurs when the instrument is 90 days past due, or earlier if the Company believes the collection of interest is doubtful. The Company has concluded that this policy results in the timely reversal of uncollectible interest.</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January 1, 2023, the Company adopted Accounting Standard Update (“ASU”) 2022-02, Financial Instruments - Credit Losses (Topic 326), </w:t>
      </w:r>
      <w:r>
        <w:rPr>
          <w:rFonts w:ascii="Times New Roman" w:cs="Times New Roman" w:eastAsia="Times New Roman" w:hAnsi="Times New Roman"/>
          <w:sz w:val="18"/>
          <w:szCs w:val="18"/>
          <w:i w:val="1"/>
          <w:iCs w:val="1"/>
          <w:color w:val="auto"/>
        </w:rPr>
        <w:t>Troubled Debt Restructurings and Vintage Disclosures</w:t>
      </w:r>
      <w:r>
        <w:rPr>
          <w:rFonts w:ascii="Times New Roman" w:cs="Times New Roman" w:eastAsia="Times New Roman" w:hAnsi="Times New Roman"/>
          <w:sz w:val="18"/>
          <w:szCs w:val="18"/>
          <w:color w:val="auto"/>
        </w:rPr>
        <w:t>. ASU 2022-02 addresses areas identified by the FASB as part of its implementation review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standard (ASU 2016-13) that introduced the CECL model. The amendments eliminate the accounting guidance for troubled debt restructurings (“TDRs”) by creditors that have adopted the CECL model and enhance the disclosure requirements for certain loan refinancings and restructurings by creditors when a borrower is experiencing financial difficulty. In addition, the amendments require that the Company disclose current-period gross write-offs for financing receivables and net investment in leases by year of origination in the vintage disclosures. The Company adopted the standard prospectively, and it did not have a material impact on the financial statements.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March 2022, the FASB issued ASU 2022-01, </w:t>
      </w:r>
      <w:r>
        <w:rPr>
          <w:rFonts w:ascii="Times New Roman" w:cs="Times New Roman" w:eastAsia="Times New Roman" w:hAnsi="Times New Roman"/>
          <w:sz w:val="18"/>
          <w:szCs w:val="18"/>
          <w:i w:val="1"/>
          <w:iCs w:val="1"/>
          <w:color w:val="auto"/>
        </w:rPr>
        <w:t>Derivatives and Hedging (Topic 815), Fair Value Hedging - Portfolio Layer Method</w:t>
      </w:r>
      <w:r>
        <w:rPr>
          <w:rFonts w:ascii="Times New Roman" w:cs="Times New Roman" w:eastAsia="Times New Roman" w:hAnsi="Times New Roman"/>
          <w:sz w:val="18"/>
          <w:szCs w:val="18"/>
          <w:color w:val="auto"/>
        </w:rPr>
        <w:t>. ASU 2022-01 clarifies the guidance in ASC 815 on fair value hedge accounting of interest rate risk for portfolios of financial assets and is intended to better align hedge accounting with an organization’s risk management strategies. In 2017, FASB issued ASU 2017-12 to better align the economic results of risk management activities with hedge accounting. One of the major provisions of that standard was the addition of the last-of-layer hedging method. For a closed portfolio of fixed-rate-prepayable financial assets of one or more beneficial interests secured by a portfolio of prepayable financial instruments, such as mortgages or mortgage-backed securities, the last-of-layer method allows an entity to hedge its exposure to fair value changes due to the changes in interest rates for a portion of the portfolio that is not expected to be affected by prepayments, defaults, and other events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cash flows. ASU 2022-01 renames that method the portfolio layer method. ASU 2022-01 was effective January 1, 2023.</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Newly Issued not yet Adopted Accounting Standards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Simplification Initiative</w:t>
      </w:r>
      <w:r>
        <w:rPr>
          <w:rFonts w:ascii="Times New Roman" w:cs="Times New Roman" w:eastAsia="Times New Roman" w:hAnsi="Times New Roman"/>
          <w:sz w:val="18"/>
          <w:szCs w:val="18"/>
          <w:color w:val="auto"/>
        </w:rPr>
        <w:t>. This ASU incorporates certain SEC disclosure requirements into the FASB Accounting Standards Codification.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effective two years later.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Structures Using the Proportional Amortization Method</w:t>
      </w:r>
      <w:r>
        <w:rPr>
          <w:rFonts w:ascii="Times New Roman" w:cs="Times New Roman" w:eastAsia="Times New Roman" w:hAnsi="Times New Roman"/>
          <w:sz w:val="18"/>
          <w:szCs w:val="18"/>
          <w:color w:val="auto"/>
        </w:rPr>
        <w:t>. These amendments permit reporting entities to elect to account for their tax equity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the tax credit program from which the income tax credits are received, using the proportional amortization method if certain conditions are met. The ASU is effective for public business entities for fiscal years beginning after December 15, 2024, including interim periods with those fiscal years. Early adoption is permitted for all entities in any interim period. The amendments in this ASU must be applied on either a modified retrospective or a retrospective basis (except for LIHTC investments not accounted for using the proportional amortization method). A reporting entity that has LIHTC investments that are no longer permitted to use (1) the cost method guidance in paragraph 323-740-25-2A, (2) the equity method example in paragraphs 323-740-55-8 through 55-9, or (3) the delayed equity contribution guidance in paragraphs 323-740-25-3 must either use its general transition method (modified retrospective or retrospective) or apply a prospective approach. We do not expect the adoption of ASU 2023-02 to have a material impact on our consolidated financial statements.</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Measurements (Topic 820): Fair Value Measurements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ASU 2022-03 clarifies that a contractual restriction on the sale of an equity security is not considered part of the unit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equity security and, therefore, is not considered in measuring fair value. The amendments also clarify that an entity cannot, as a separate unit of account, recognize and measure a contractual sale restriction. The amendments also require some additional disclosures for equity securities that are subject to contractual sale restrictions. The amendments in this ASU are effective for fiscal years beginning after December 15, 2024, and interim periods within those fiscal years. The amendments in this ASU should be applied prospectively with any adjustments from the adoption of the amendments recognized in earnings and disclosed on the date of adoption. We do not expect the adoption of ASU 2022-03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securities and their approximate fair values at December 31, 2023, and December 31, 2022,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197,026</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463,203</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266,031</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177,061</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77,936</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1,372,575</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1,248,439</w:t>
            </w:r>
          </w:p>
        </w:tc>
      </w:tr>
      <w:tr>
        <w:trPr>
          <w:trHeight w:val="45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198,154</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174,993</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453,907</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53,061</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339,295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59,933</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183,299</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98,626</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1,537,420</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1,371,757</w:t>
            </w: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and December 31, 2022, securities with amortized costs of $826.5 million and $637.1 million, respectively, and with estimated fair values of $742.5 million and $552.5 million, respectively, were pledged to collateralize whole-sale funding, secure public deposits, and for other purposes required or permitted by law.</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gross realized gains, realized losses, and proceeds from the sales of securities for the years ended December 31, 2023,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2023, 2022, and 2021 was $23.5 thousand, $95.3 thousand, and $0.8 thousand, respectively.</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maturities of securities available-for-sale at December 31, 2023, were as follows (in thousands): (Expected maturities of securities not due at a single maturity date are based on average life at estimated prepayment speed.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some obligations with or without call or prepayment penalties).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3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Five to Ten Years</w:t>
            </w:r>
          </w:p>
        </w:tc>
        <w:tc>
          <w:tcPr>
            <w:tcW w:w="18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197,026</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535,229</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284,826</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183,454</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462,316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577,346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158,224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1,372,575</w:t>
            </w:r>
          </w:p>
        </w:tc>
      </w:tr>
      <w:tr>
        <w:trPr>
          <w:trHeight w:val="456"/>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3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Five to Ten Years</w:t>
            </w:r>
          </w:p>
        </w:tc>
        <w:tc>
          <w:tcPr>
            <w:tcW w:w="18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463,203</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266,031</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177,061</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77,936</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435,502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516,425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125,191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1,248,439</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year-end 2023 and 2022, there were no holdings of securities of any one issuer, other than U.S. Government and its agencies, in any amount greater than 10% of shareholders’ equity.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December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Available-for-sale securities in a continuous unrealized loss position for less than twelve months and more than twelve months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7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7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53"/>
              <w:spacing w:after="0" w:line="137"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0" w:type="dxa"/>
            <w:vAlign w:val="bottom"/>
          </w:tcPr>
          <w:p>
            <w:pPr>
              <w:spacing w:after="0"/>
              <w:rPr>
                <w:sz w:val="1"/>
                <w:szCs w:val="1"/>
                <w:color w:val="auto"/>
              </w:rPr>
            </w:pPr>
          </w:p>
        </w:tc>
      </w:tr>
      <w:tr>
        <w:trPr>
          <w:trHeight w:val="456"/>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132,297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collateral, if applicable, and the level of credit support in the security structure. Management also evaluates other factors and circumstances that may be indicative of a decline in the fair value of the security due to a credit factor.</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ACL is recorded for the credit loss, limited by the amount that the fair value is less than the amortized cost basis under the CECL standard, and declines due to non-credit factors are recorded in accumulated 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statements of financial condition. Prior to implementation of the CECL standard, unrealized losses caused by a credit event would require the direct write-down of the AFS security through the other-than-temporary impairment (“OTTI”) approach.</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did not record an ACL on the AFS securities at December 31, 2023. The Company considers the unrealized losses on the AFS securities to be related to fluctuations in market conditions, primarily interest rates, and not reflective of deterioration in credit. The Company had 392 securities in an unrealized loss position as of December 31, 2023. The Company has evaluated AFS securities in an unrealized loss position for credit-related impairment at December 31, 2023, and concluded no impairment existed based on a combination of factors, which included: (1) the securities are of high credit quality,</w:t>
      </w:r>
    </w:p>
    <w:p>
      <w:pPr>
        <w:spacing w:after="0" w:line="3" w:lineRule="exact"/>
        <w:rPr>
          <w:sz w:val="20"/>
          <w:szCs w:val="20"/>
          <w:color w:val="auto"/>
        </w:rPr>
      </w:pPr>
    </w:p>
    <w:p>
      <w:pPr>
        <w:jc w:val="both"/>
        <w:ind w:firstLine="8"/>
        <w:spacing w:after="0" w:line="253" w:lineRule="auto"/>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December 31, 2023.</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 2023, the Company adopted the CECL methodology as required under ASC 326. Under the CECL methodology an ACL is required for impaired available-for-sale securities. As of the previous two year ends, the Company was relying on ASC 320-10 which required the Company to assess if OTTI existed with respect to its security portfolio. As of December 31, 2022, the Company had no cumulative OTTI. There were no OTTI charges in earnings as a result of credit losses on investments in the years ended December 31, 2022, or December 31, 2021.</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Securities of U.S. Treasury and Federal Agencies and Federal Agency Mortgage (Residential and Commercial) Backed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2023, the unrealized losses associated with 12 U.S. Treasuries and Government Agency securities, 16 Residential Mortgage Backed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Agency securities, and 15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December 31, 2023.</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Securities of U.S. States and Municipalities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2023, the unrealized losses associated with 201 State and Municipal securities were primarily caused by changes in interest rates and not the credit quality of the securities. These investments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Commercial Mortgage Backed – Non-Agency Securities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2023, the unrealized losses associated with 90 Residential Mortgage Backed – Non-Agency securities and 33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December 31, 2023.</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Asset-Backed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2023, the unrealized losses associated with 22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December 31, 2023.</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2023, the unrealized losses associated with 3 securities were primarily driven by interest rates and not the credit quality of the securities. These investments are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December 31, 2023.</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investment in FHLB stock totaled $5.9 million and $16.4 million at December 31, 2023, and 2022,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impaired at December 31, 2023, and no impairment has been recognized. FHLB stock is included in a separate line item, Restricted stock, at cost on the Consolidated Balance Sheets and is not part of the Company’s AFS investment securities portfolio. The Company’s Restricted stock line item on the Consolidated Balance Sheets also includes an investment in Community Bankers’ Bank, totaling $50 thousand at both December 31, 2023, and December 31, 2022, which is carried at cost and is not impaired at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26"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200" w:lineRule="exact"/>
        <w:rPr>
          <w:sz w:val="20"/>
          <w:szCs w:val="20"/>
          <w:color w:val="auto"/>
        </w:rPr>
      </w:pPr>
    </w:p>
    <w:p>
      <w:pPr>
        <w:spacing w:after="0" w:line="353" w:lineRule="exact"/>
        <w:rPr>
          <w:sz w:val="20"/>
          <w:szCs w:val="20"/>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340" w:right="280" w:hanging="8"/>
        <w:spacing w:after="0" w:line="458" w:lineRule="auto"/>
        <w:tabs>
          <w:tab w:leader="none" w:pos="6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carry risk associated with the credit-worthiness of the borrower and the value of the collateral, if any. Loans at year-end by portfolio segment were as follows (in thousands):</w:t>
      </w: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1,109,315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499,362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1,887,221</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1,866,182</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deferred loan fees included in the above loan categories totaled $3.5 million and $3.3 million at December 31, 2023, and December 31, 2022, respectively. The Company holds $3.0 million and $7.9 million in Paycheck Protection Program loans, net of deferred fees and costs as of December 31, 2023, and December 31,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2023, the Company adopted the CECL methodology as required under ASC 326. The measurement of expected credit losses under the CECL methodology is applicable to financial assets measured at amortized cost, including loan receivables. For further discussion on the Company’s accounting policies and policy elections related to the accounting standards update refer to </w:t>
      </w:r>
      <w:r>
        <w:rPr>
          <w:rFonts w:ascii="Times New Roman" w:cs="Times New Roman" w:eastAsia="Times New Roman" w:hAnsi="Times New Roman"/>
          <w:sz w:val="18"/>
          <w:szCs w:val="18"/>
          <w:u w:val="single" w:color="auto"/>
          <w:color w:val="0000FF"/>
        </w:rPr>
        <w:t>Note 1 — Nature of Business Activities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these Notes to Consolidated Financial Statements. All information presented as of December 31, 2023, is in accordance with ASC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326. All other information presented prior to January 1, 2023, is in accordance with previous applicable GAAP.</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Statements of Income. Management calculates the quantitative portion of collectively evaluated loans for all loan categories using the WARM method. For purposes of estimating the Company’s ACL, management generally evaluates collectively evaluated loans by federal call code in order to group loans with similar risk characteristics.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future cash flows. A specific reserve is assigned if the measured value of the loan using one of the before mentioned methods is less than the carrying value of the loan.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 forecast. These qualitative risk factors considered by management are largely comparable to legacy factors prior to the adoption of CECL.</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activity in the ACL, including the impact of the adoption of CECL, for the year ended December 31, 2023, and the activity for the allowance for loan losses for the years ended December 31, 2022, and December 31, 2021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80" w:type="dxa"/>
            <w:vAlign w:val="bottom"/>
          </w:tcPr>
          <w:p>
            <w:pPr>
              <w:spacing w:after="0"/>
              <w:rPr>
                <w:sz w:val="10"/>
                <w:szCs w:val="10"/>
                <w:color w:val="auto"/>
              </w:rPr>
            </w:pPr>
          </w:p>
        </w:tc>
        <w:tc>
          <w:tcPr>
            <w:tcW w:w="10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Beginning balance, prior to adoption</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CECL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21,039</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adoption CECL</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0" w:type="dxa"/>
            <w:vAlign w:val="bottom"/>
          </w:tcPr>
          <w:p>
            <w:pPr>
              <w:spacing w:after="0"/>
              <w:rPr>
                <w:sz w:val="1"/>
                <w:szCs w:val="1"/>
                <w:color w:val="auto"/>
              </w:rPr>
            </w:pPr>
          </w:p>
        </w:tc>
      </w:tr>
      <w:tr>
        <w:trPr>
          <w:trHeight w:val="122"/>
        </w:trPr>
        <w:tc>
          <w:tcPr>
            <w:tcW w:w="204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70"/>
        </w:trPr>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9"/>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25,301</w:t>
            </w:r>
          </w:p>
        </w:tc>
        <w:tc>
          <w:tcPr>
            <w:tcW w:w="0" w:type="dxa"/>
            <w:vAlign w:val="bottom"/>
          </w:tcPr>
          <w:p>
            <w:pPr>
              <w:spacing w:after="0"/>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80" w:type="dxa"/>
            <w:vAlign w:val="bottom"/>
          </w:tcPr>
          <w:p>
            <w:pPr>
              <w:spacing w:after="0"/>
              <w:rPr>
                <w:sz w:val="10"/>
                <w:szCs w:val="10"/>
                <w:color w:val="auto"/>
              </w:rPr>
            </w:pPr>
          </w:p>
        </w:tc>
        <w:tc>
          <w:tcPr>
            <w:tcW w:w="10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25,112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31,709</w:t>
            </w:r>
          </w:p>
        </w:tc>
        <w:tc>
          <w:tcPr>
            <w:tcW w:w="0" w:type="dxa"/>
            <w:vAlign w:val="bottom"/>
          </w:tcPr>
          <w:p>
            <w:pPr>
              <w:spacing w:after="0"/>
              <w:rPr>
                <w:sz w:val="1"/>
                <w:szCs w:val="1"/>
                <w:color w:val="auto"/>
              </w:rPr>
            </w:pPr>
          </w:p>
        </w:tc>
      </w:tr>
      <w:tr>
        <w:trPr>
          <w:trHeight w:val="127"/>
        </w:trPr>
        <w:tc>
          <w:tcPr>
            <w:tcW w:w="204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Provision for (recapture of) loan</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(6,391)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(7,466)</w:t>
            </w:r>
          </w:p>
        </w:tc>
        <w:tc>
          <w:tcPr>
            <w:tcW w:w="0" w:type="dxa"/>
            <w:vAlign w:val="bottom"/>
          </w:tcPr>
          <w:p>
            <w:pPr>
              <w:spacing w:after="0"/>
              <w:rPr>
                <w:sz w:val="1"/>
                <w:szCs w:val="1"/>
                <w:color w:val="auto"/>
              </w:rPr>
            </w:pPr>
          </w:p>
        </w:tc>
      </w:tr>
      <w:tr>
        <w:trPr>
          <w:trHeight w:val="170"/>
        </w:trPr>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tcPr>
          <w:p>
            <w:pPr>
              <w:spacing w:after="0"/>
              <w:rPr>
                <w:sz w:val="14"/>
                <w:szCs w:val="14"/>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(3,282)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w:t>
            </w:r>
          </w:p>
        </w:tc>
        <w:tc>
          <w:tcPr>
            <w:tcW w:w="0" w:type="dxa"/>
            <w:vAlign w:val="bottom"/>
          </w:tcPr>
          <w:p>
            <w:pPr>
              <w:spacing w:after="0"/>
              <w:rPr>
                <w:sz w:val="1"/>
                <w:szCs w:val="1"/>
                <w:color w:val="auto"/>
              </w:rPr>
            </w:pPr>
          </w:p>
        </w:tc>
      </w:tr>
      <w:tr>
        <w:trPr>
          <w:trHeight w:val="181"/>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63"/>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15,477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21,039</w:t>
            </w: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80" w:type="dxa"/>
            <w:vAlign w:val="bottom"/>
          </w:tcPr>
          <w:p>
            <w:pPr>
              <w:spacing w:after="0"/>
              <w:rPr>
                <w:sz w:val="10"/>
                <w:szCs w:val="10"/>
                <w:color w:val="auto"/>
              </w:rPr>
            </w:pPr>
          </w:p>
        </w:tc>
        <w:tc>
          <w:tcPr>
            <w:tcW w:w="10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center"/>
              <w:ind w:left="677"/>
              <w:spacing w:after="0"/>
              <w:rPr>
                <w:sz w:val="20"/>
                <w:szCs w:val="20"/>
                <w:color w:val="auto"/>
              </w:rPr>
            </w:pPr>
            <w:r>
              <w:rPr>
                <w:rFonts w:ascii="Times New Roman" w:cs="Times New Roman" w:eastAsia="Times New Roman" w:hAnsi="Times New Roman"/>
                <w:sz w:val="13"/>
                <w:szCs w:val="13"/>
                <w:color w:val="auto"/>
                <w:w w:val="91"/>
              </w:rPr>
              <w:t>60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32,697</w:t>
            </w:r>
          </w:p>
        </w:tc>
        <w:tc>
          <w:tcPr>
            <w:tcW w:w="0" w:type="dxa"/>
            <w:vAlign w:val="bottom"/>
          </w:tcPr>
          <w:p>
            <w:pPr>
              <w:spacing w:after="0"/>
              <w:rPr>
                <w:sz w:val="1"/>
                <w:szCs w:val="1"/>
                <w:color w:val="auto"/>
              </w:rPr>
            </w:pPr>
          </w:p>
        </w:tc>
      </w:tr>
      <w:tr>
        <w:trPr>
          <w:trHeight w:val="127"/>
        </w:trPr>
        <w:tc>
          <w:tcPr>
            <w:tcW w:w="204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Provision for (recapture of) loan</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3"/>
                <w:szCs w:val="13"/>
                <w:color w:val="auto"/>
                <w:w w:val="91"/>
              </w:rPr>
              <w:t>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0" w:type="dxa"/>
            <w:vAlign w:val="bottom"/>
          </w:tcPr>
          <w:p>
            <w:pPr>
              <w:spacing w:after="0"/>
              <w:rPr>
                <w:sz w:val="1"/>
                <w:szCs w:val="1"/>
                <w:color w:val="auto"/>
              </w:rPr>
            </w:pPr>
          </w:p>
        </w:tc>
      </w:tr>
      <w:tr>
        <w:trPr>
          <w:trHeight w:val="170"/>
        </w:trPr>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left="657"/>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81"/>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3"/>
                <w:szCs w:val="13"/>
                <w:color w:val="auto"/>
                <w:w w:val="91"/>
              </w:rPr>
              <w:t>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0" w:type="dxa"/>
            <w:vAlign w:val="bottom"/>
          </w:tcPr>
          <w:p>
            <w:pPr>
              <w:spacing w:after="0"/>
              <w:rPr>
                <w:sz w:val="1"/>
                <w:szCs w:val="1"/>
                <w:color w:val="auto"/>
              </w:rPr>
            </w:pPr>
          </w:p>
        </w:tc>
      </w:tr>
      <w:tr>
        <w:trPr>
          <w:trHeight w:val="163"/>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center"/>
              <w:ind w:left="677"/>
              <w:spacing w:after="0"/>
              <w:rPr>
                <w:sz w:val="20"/>
                <w:szCs w:val="20"/>
                <w:color w:val="auto"/>
              </w:rPr>
            </w:pPr>
            <w:r>
              <w:rPr>
                <w:rFonts w:ascii="Times New Roman" w:cs="Times New Roman" w:eastAsia="Times New Roman" w:hAnsi="Times New Roman"/>
                <w:sz w:val="13"/>
                <w:szCs w:val="13"/>
                <w:color w:val="auto"/>
                <w:w w:val="91"/>
              </w:rPr>
              <w:t>18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31,709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presented in the table below is not required for periods after the adoption of CECL. The following table summarizes the allowance for loan losses and the recorded investment in loans by portfolio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based on the impairment method (individually or collectively evaluated for impairment) as of December 31, 2022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Acquisition,</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commercial real</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construction &amp;</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80" w:type="dxa"/>
            <w:vAlign w:val="bottom"/>
          </w:tcPr>
          <w:p>
            <w:pPr>
              <w:spacing w:after="0"/>
              <w:rPr>
                <w:sz w:val="10"/>
                <w:szCs w:val="10"/>
                <w:color w:val="auto"/>
              </w:rPr>
            </w:pPr>
          </w:p>
        </w:tc>
        <w:tc>
          <w:tcPr>
            <w:tcW w:w="10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development</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loan losses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4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Individually evaluated for</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impairment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22"/>
        </w:trPr>
        <w:tc>
          <w:tcPr>
            <w:tcW w:w="204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Collectively evaluated for</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impairment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20,800</w:t>
            </w:r>
          </w:p>
        </w:tc>
        <w:tc>
          <w:tcPr>
            <w:tcW w:w="0" w:type="dxa"/>
            <w:vAlign w:val="bottom"/>
          </w:tcPr>
          <w:p>
            <w:pPr>
              <w:spacing w:after="0"/>
              <w:rPr>
                <w:sz w:val="1"/>
                <w:szCs w:val="1"/>
                <w:color w:val="auto"/>
              </w:rPr>
            </w:pPr>
          </w:p>
        </w:tc>
      </w:tr>
      <w:tr>
        <w:trPr>
          <w:trHeight w:val="170"/>
        </w:trPr>
        <w:tc>
          <w:tcPr>
            <w:tcW w:w="20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ending allowance balance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21,039</w:t>
            </w:r>
          </w:p>
        </w:tc>
        <w:tc>
          <w:tcPr>
            <w:tcW w:w="0" w:type="dxa"/>
            <w:vAlign w:val="bottom"/>
          </w:tcPr>
          <w:p>
            <w:pPr>
              <w:spacing w:after="0"/>
              <w:rPr>
                <w:sz w:val="1"/>
                <w:szCs w:val="1"/>
                <w:color w:val="auto"/>
              </w:rPr>
            </w:pPr>
          </w:p>
        </w:tc>
      </w:tr>
      <w:tr>
        <w:trPr>
          <w:trHeight w:val="94"/>
        </w:trPr>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balance:</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Individually evaluated for</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impairment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9,069</w:t>
            </w:r>
          </w:p>
        </w:tc>
        <w:tc>
          <w:tcPr>
            <w:tcW w:w="0" w:type="dxa"/>
            <w:vAlign w:val="bottom"/>
          </w:tcPr>
          <w:p>
            <w:pPr>
              <w:spacing w:after="0"/>
              <w:rPr>
                <w:sz w:val="1"/>
                <w:szCs w:val="1"/>
                <w:color w:val="auto"/>
              </w:rPr>
            </w:pPr>
          </w:p>
        </w:tc>
      </w:tr>
      <w:tr>
        <w:trPr>
          <w:trHeight w:val="129"/>
        </w:trPr>
        <w:tc>
          <w:tcPr>
            <w:tcW w:w="20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Collectively evaluated for</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impairment</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1,108,984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493,204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1,878,152</w:t>
            </w:r>
          </w:p>
        </w:tc>
        <w:tc>
          <w:tcPr>
            <w:tcW w:w="0" w:type="dxa"/>
            <w:vAlign w:val="bottom"/>
          </w:tcPr>
          <w:p>
            <w:pPr>
              <w:spacing w:after="0"/>
              <w:rPr>
                <w:sz w:val="1"/>
                <w:szCs w:val="1"/>
                <w:color w:val="auto"/>
              </w:rPr>
            </w:pPr>
          </w:p>
        </w:tc>
      </w:tr>
      <w:tr>
        <w:trPr>
          <w:trHeight w:val="163"/>
        </w:trPr>
        <w:tc>
          <w:tcPr>
            <w:tcW w:w="20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ending loan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1,109,315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127,114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94,450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53,514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499,362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1,887,221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adoption of CECL, loans were considered impaired when, based on current information and events as of the measurement date, it was probable the Company would be unable to collect all amounts due in accordance with the original contractual terms of the loan agreements. Impaired loans included loans on non-accrual status and accruing TDRs. When determining if the Company would be unable to collect all principal and interest payments due in accordance with the contractual terms of the loan agreement, the Company considered the borrower’s capacity to pay, which included such factors as the borrower’s current financial statements, an analysis of the global cash flow sufficient to pay all debt obligations, and an evaluation of secondary sources of repayment, such as guarantor support and collateral value.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related to impaired loans (in thousands) by portfolio segment as of December 31, 2022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Unpaid Principal</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Average Recorded</w:t>
            </w:r>
          </w:p>
        </w:tc>
        <w:tc>
          <w:tcPr>
            <w:tcW w:w="200" w:type="dxa"/>
            <w:vAlign w:val="bottom"/>
          </w:tcPr>
          <w:p>
            <w:pPr>
              <w:spacing w:after="0"/>
              <w:rPr>
                <w:sz w:val="12"/>
                <w:szCs w:val="12"/>
                <w:color w:val="auto"/>
              </w:rPr>
            </w:pPr>
          </w:p>
        </w:tc>
        <w:tc>
          <w:tcPr>
            <w:tcW w:w="124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Interest Income</w:t>
            </w:r>
          </w:p>
        </w:tc>
      </w:tr>
      <w:tr>
        <w:trPr>
          <w:trHeight w:val="18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Recorded Investment</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Related Allowance</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200" w:type="dxa"/>
            <w:vAlign w:val="bottom"/>
          </w:tcPr>
          <w:p>
            <w:pPr>
              <w:spacing w:after="0"/>
              <w:rPr>
                <w:sz w:val="15"/>
                <w:szCs w:val="15"/>
                <w:color w:val="auto"/>
              </w:rPr>
            </w:pPr>
          </w:p>
        </w:tc>
        <w:tc>
          <w:tcPr>
            <w:tcW w:w="124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Recognized (1)</w:t>
            </w:r>
          </w:p>
        </w:tc>
      </w:tr>
      <w:tr>
        <w:trPr>
          <w:trHeight w:val="16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170"/>
        </w:trPr>
        <w:tc>
          <w:tcPr>
            <w:tcW w:w="4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 no related allowance recorded:</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1"/>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81"/>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70"/>
        </w:trPr>
        <w:tc>
          <w:tcPr>
            <w:tcW w:w="4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42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Subtotal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r>
      <w:tr>
        <w:trPr>
          <w:trHeight w:val="94"/>
        </w:trPr>
        <w:tc>
          <w:tcPr>
            <w:tcW w:w="4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7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 an allowance recorded:</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0"/>
        </w:trPr>
        <w:tc>
          <w:tcPr>
            <w:tcW w:w="4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81"/>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70"/>
        </w:trPr>
        <w:tc>
          <w:tcPr>
            <w:tcW w:w="4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81"/>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2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Subtotal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basis interest income recognized approximates interest income recognized shown as of the twelve months ended December 31, 2022.</w:t>
      </w:r>
    </w:p>
    <w:p>
      <w:pPr>
        <w:spacing w:after="0" w:line="1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and loan origination fees, net due to immateriality. The following table presents the aging of the recorded investment in past due loans as of December 31, 2023, and December 31, 2022, by portfolio segment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22"/>
        </w:trPr>
        <w:tc>
          <w:tcPr>
            <w:tcW w:w="2040" w:type="dxa"/>
            <w:vAlign w:val="bottom"/>
          </w:tcPr>
          <w:p>
            <w:pPr>
              <w:spacing w:after="0"/>
              <w:rPr>
                <w:sz w:val="10"/>
                <w:szCs w:val="10"/>
                <w:color w:val="auto"/>
              </w:rPr>
            </w:pPr>
          </w:p>
        </w:tc>
        <w:tc>
          <w:tcPr>
            <w:tcW w:w="11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0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1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90 Days Past Due</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3"/>
        </w:trPr>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&amp; Still Accruing</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Non-accrual loans</w:t>
            </w:r>
          </w:p>
        </w:tc>
      </w:tr>
      <w:tr>
        <w:trPr>
          <w:trHeight w:val="17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1,298,588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1,309,084</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Owner-occupied commercial real estate</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131,381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1,000</w:t>
            </w:r>
          </w:p>
        </w:tc>
      </w:tr>
      <w:tr>
        <w:trPr>
          <w:trHeight w:val="127"/>
        </w:trPr>
        <w:tc>
          <w:tcPr>
            <w:tcW w:w="20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Acquisition, construction &amp;</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89"/>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67,847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524,502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2,744</w:t>
            </w: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2,072,430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2,087,756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3,744</w:t>
            </w:r>
          </w:p>
        </w:tc>
      </w:tr>
    </w:tbl>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22"/>
        </w:trPr>
        <w:tc>
          <w:tcPr>
            <w:tcW w:w="2040" w:type="dxa"/>
            <w:vAlign w:val="bottom"/>
          </w:tcPr>
          <w:p>
            <w:pPr>
              <w:spacing w:after="0"/>
              <w:rPr>
                <w:sz w:val="10"/>
                <w:szCs w:val="10"/>
                <w:color w:val="auto"/>
              </w:rPr>
            </w:pPr>
          </w:p>
        </w:tc>
        <w:tc>
          <w:tcPr>
            <w:tcW w:w="11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0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1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90 Days Past Due</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2"/>
        </w:trPr>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&amp; Still Accruing</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Non-accrual loans</w:t>
            </w:r>
          </w:p>
        </w:tc>
      </w:tr>
      <w:tr>
        <w:trPr>
          <w:trHeight w:val="17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1,109,315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1,109,315</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Owner-occupied commercial real estate</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1,184</w:t>
            </w:r>
          </w:p>
        </w:tc>
      </w:tr>
      <w:tr>
        <w:trPr>
          <w:trHeight w:val="127"/>
        </w:trPr>
        <w:tc>
          <w:tcPr>
            <w:tcW w:w="20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Acquisition, construction &amp;</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89"/>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development</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53,514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497,259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499,362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4,313</w:t>
            </w:r>
          </w:p>
        </w:tc>
      </w:tr>
      <w:tr>
        <w:trPr>
          <w:trHeight w:val="170"/>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1,885,114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1,887,221</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5,497</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the top twenty-five non-homogenous commercial loan relationships as measured by total Company exposure to each borrower. The Company uses the following definitions for credit risk classifications: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substandard are inadequately protected by sound net worth, payment capacity of the borrower, or of the collateral pledged. If weaknesses go uncorrected, there is potential for partial loss of principal and/or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possibility of some recovery in the future, it is not practical or desirable to defer writing off these loans at the present time.</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December 31, 2023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5"/>
        </w:trPr>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60" w:type="dxa"/>
            <w:vAlign w:val="bottom"/>
          </w:tcPr>
          <w:p>
            <w:pPr>
              <w:spacing w:after="0"/>
              <w:rPr>
                <w:sz w:val="16"/>
                <w:szCs w:val="16"/>
                <w:color w:val="auto"/>
              </w:rPr>
            </w:pPr>
          </w:p>
        </w:tc>
        <w:tc>
          <w:tcPr>
            <w:tcW w:w="84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195,857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261,817</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166,253</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75,170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416,774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36,761</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1,175,423</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35,449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52,560</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81,101</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289,472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214,549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82,255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467,399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36,761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1,309,084</w:t>
            </w:r>
          </w:p>
        </w:tc>
      </w:tr>
      <w:tr>
        <w:trPr>
          <w:trHeight w:val="94"/>
        </w:trPr>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94"/>
        </w:trPr>
        <w:tc>
          <w:tcPr>
            <w:tcW w:w="19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22"/>
        </w:trPr>
        <w:tc>
          <w:tcPr>
            <w:tcW w:w="19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Owner-occupied commercial real</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6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estate</w:t>
            </w: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31,725</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11,229</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43,616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6,184</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126,445</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48,020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131,381</w:t>
            </w:r>
          </w:p>
        </w:tc>
      </w:tr>
      <w:tr>
        <w:trPr>
          <w:trHeight w:val="94"/>
        </w:trPr>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94"/>
        </w:trPr>
        <w:tc>
          <w:tcPr>
            <w:tcW w:w="19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22"/>
        </w:trPr>
        <w:tc>
          <w:tcPr>
            <w:tcW w:w="19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Acquisition, construction &amp;</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6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13,698</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49,091</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r>
      <w:tr>
        <w:trPr>
          <w:trHeight w:val="94"/>
        </w:trPr>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94"/>
        </w:trPr>
        <w:tc>
          <w:tcPr>
            <w:tcW w:w="19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7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15,204</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16,854</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67,025</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67,847</w:t>
            </w:r>
          </w:p>
        </w:tc>
      </w:tr>
      <w:tr>
        <w:trPr>
          <w:trHeight w:val="94"/>
        </w:trPr>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Single family residential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units)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122,067</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60,202</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40,938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137,376</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54,273</w:t>
            </w:r>
          </w:p>
        </w:tc>
        <w:tc>
          <w:tcPr>
            <w:tcW w:w="8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525,236</w:t>
            </w:r>
          </w:p>
        </w:tc>
      </w:tr>
      <w:tr>
        <w:trPr>
          <w:trHeight w:val="18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78,222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122,067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40,938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139,547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54,312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527,980</w:t>
            </w:r>
          </w:p>
        </w:tc>
      </w:tr>
      <w:tr>
        <w:trPr>
          <w:trHeight w:val="94"/>
        </w:trPr>
        <w:tc>
          <w:tcPr>
            <w:tcW w:w="1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94"/>
        </w:trPr>
        <w:tc>
          <w:tcPr>
            <w:tcW w:w="19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r>
      <w:tr>
        <w:trPr>
          <w:trHeight w:val="122"/>
        </w:trPr>
        <w:tc>
          <w:tcPr>
            <w:tcW w:w="19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Consumer non-real estate and</w:t>
            </w: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69"/>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8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94"/>
        </w:trPr>
        <w:tc>
          <w:tcPr>
            <w:tcW w:w="1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263"/>
        </w:trPr>
        <w:tc>
          <w:tcPr>
            <w:tcW w:w="1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321,368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483,436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305,178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69,608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134,601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656,867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116,698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2,087,756</w:t>
            </w:r>
          </w:p>
        </w:tc>
      </w:tr>
    </w:tbl>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value of outstanding loans by credit quality indicators as of December 31, 2022,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Doubtful</w:t>
            </w:r>
          </w:p>
        </w:tc>
        <w:tc>
          <w:tcPr>
            <w:tcW w:w="28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5"/>
        </w:trPr>
        <w:tc>
          <w:tcPr>
            <w:tcW w:w="3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1,011,025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35,383</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1,109,315</w:t>
            </w:r>
          </w:p>
        </w:tc>
      </w:tr>
      <w:tr>
        <w:trPr>
          <w:trHeight w:val="21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127,114</w:t>
            </w:r>
          </w:p>
        </w:tc>
      </w:tr>
      <w:tr>
        <w:trPr>
          <w:trHeight w:val="195"/>
        </w:trPr>
        <w:tc>
          <w:tcPr>
            <w:tcW w:w="3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94,450</w:t>
            </w:r>
          </w:p>
        </w:tc>
      </w:tr>
      <w:tr>
        <w:trPr>
          <w:trHeight w:val="21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53,514</w:t>
            </w:r>
          </w:p>
        </w:tc>
      </w:tr>
      <w:tr>
        <w:trPr>
          <w:trHeight w:val="195"/>
        </w:trPr>
        <w:tc>
          <w:tcPr>
            <w:tcW w:w="3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494,994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499,362</w:t>
            </w:r>
          </w:p>
        </w:tc>
      </w:tr>
      <w:tr>
        <w:trPr>
          <w:trHeight w:val="21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r>
      <w:tr>
        <w:trPr>
          <w:trHeight w:val="190"/>
        </w:trPr>
        <w:tc>
          <w:tcPr>
            <w:tcW w:w="34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1,752,599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65,761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68,861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1,887,221</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60" w:type="dxa"/>
            <w:vAlign w:val="bottom"/>
            <w:gridSpan w:val="6"/>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Collateral Dependent Loans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With No Related</w:t>
            </w:r>
          </w:p>
        </w:tc>
        <w:tc>
          <w:tcPr>
            <w:tcW w:w="140" w:type="dxa"/>
            <w:vAlign w:val="bottom"/>
          </w:tcPr>
          <w:p>
            <w:pPr>
              <w:spacing w:after="0"/>
              <w:rPr>
                <w:sz w:val="13"/>
                <w:szCs w:val="13"/>
                <w:color w:val="auto"/>
              </w:rPr>
            </w:pPr>
          </w:p>
        </w:tc>
        <w:tc>
          <w:tcPr>
            <w:tcW w:w="188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40" w:type="dxa"/>
            <w:vAlign w:val="bottom"/>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3,744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2022-02 on a modified retrospective basis. ASU 2022-02 eliminates the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 </w:t>
      </w:r>
      <w:r>
        <w:rPr>
          <w:rFonts w:ascii="Times New Roman" w:cs="Times New Roman" w:eastAsia="Times New Roman" w:hAnsi="Times New Roman"/>
          <w:sz w:val="18"/>
          <w:szCs w:val="18"/>
          <w:i w:val="1"/>
          <w:iCs w:val="1"/>
          <w:color w:val="auto"/>
        </w:rPr>
        <w:t>Receivables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Nonrefundable Fees and Other Costs</w:t>
      </w:r>
      <w:r>
        <w:rPr>
          <w:rFonts w:ascii="Times New Roman" w:cs="Times New Roman" w:eastAsia="Times New Roman" w:hAnsi="Times New Roman"/>
          <w:sz w:val="18"/>
          <w:szCs w:val="18"/>
          <w:color w:val="auto"/>
        </w:rPr>
        <w:t>, and subjects entities to new disclosure requirements on loan modifications to borrowers experiencing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difficulty. Upon adoption of CECL, the Company loans classified as TDRs were individually evaluated for the ACL, and the measurement was done either using the collateral-dependent or the discounted cash flow method.</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charged-off against the ACL. The Company may also provide multiple types of modifications on an individual loan. For the year ended December 31, 2023, the Company did not extend any modifications to borrowers experiencing financial difficulty that had a more-than-insignificant direct change in the contractual cash flows of the loan.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extend any modifications that were defined as TDRs during the years ended December 31, 2022, or December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Premises and Equipment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Premises and equipment are included in the Balance Sheet at December 31, 2023, and December 31, 2022,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6"/>
              </w:rPr>
              <w:t>14,626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6"/>
              </w:rPr>
              <w:t>14,626</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Premises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6"/>
              </w:rPr>
              <w:t>64,181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6"/>
              </w:rPr>
              <w:t>56,999</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Furniture and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6"/>
              </w:rPr>
              <w:t>17,505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6"/>
              </w:rPr>
              <w:t>18,705</w:t>
            </w:r>
          </w:p>
        </w:tc>
      </w:tr>
      <w:tr>
        <w:trPr>
          <w:trHeight w:val="223"/>
        </w:trPr>
        <w:tc>
          <w:tcPr>
            <w:tcW w:w="80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6"/>
              </w:rPr>
              <w:t>96,312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6"/>
              </w:rPr>
              <w:t>90,330</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rPr>
              <w:t>(35,184)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rPr>
              <w:t>(37,160)</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6"/>
              </w:rPr>
              <w:t>61,128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6"/>
              </w:rPr>
              <w:t>53,170</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(e.g. leasehold improvements) expense for the years ended December 31, 2023, December 31, 2022, and December 31, 2021 was $2.9 million, $3.1 million, and $3.2 million,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2023, 2022, and 2021, the Company sold premises that resulted in a loss of $— million, and gains of $4.5 million, and $1.1 million, respectively, that is captured in other operating expenses on the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$92.3 million and $32.6 million on December 31, 2023, and December 31, 2022, respectively. Brokered time deposits, which are fully insured, totaled $389.0 million and $100.3 million at December 31, 2023, and December 31, 2022, respectively. Time deposits through the Certificate of Deposit Account Registry Service (“CDARS”) program totaled $24.2 million at December 31, 2023, compared to $11.7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(continued)</w:t>
      </w:r>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the scheduled maturities of time deposits, including brokered time deposits, for the next five years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384,207</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140,532</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83,546</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49,354</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78,420</w:t>
            </w: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736,059</w:t>
            </w: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and December 31, 2022, amounts included in time deposits for individual retirement accounts totaled $28.5 million and $36.9 million, respectively.</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Overdrafts of $110 thousand and $503 thousand were reclassified to loans as of the year ended December 31, 2023, and December 31,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Advances and Other Borrowings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had borrowings of $272.0 million and $343.1 million at December 31, 2023, and December 31, 2022, respectively. At December 31, 2023, the interest rate on this debt ranged from 4.38% to 5.57%. At December 31, 2022, the interest rate on this debt ranged from 4.13% to 4.57%. The weighted average interest rate at December 31, 2023, and December 31, 2022, was 4.75% and 4.42%, respectively. The average balance outstanding during 2023 and 2022 was $293.9 million and $269.5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11 — Leased Property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 discussion of this liability that is included in the accrued interest and other liabilities line in the Consolidated Balance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Sheets. The Company’s short-term borrowings from time to time may consist of advances from the FHLB of Atlanta, unsecured lines from Correspondent Banks, and secured lines from the Federal Reserve Discount Window.</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available lines of credit with the FHLB of Atlanta and unsecured federal funds lines of credit from correspondent banking relationships. Through these sources, the Company has unused borrowing capacity of $987.0 million as of December 31, 2023. The advances on credit lines are secured by both securities and loans. The lendable collateral value of securities and loans pledged against available lines of credit as of December 31, 2023, and December 31, 2022, was $797.8 million and $698.1 million, respectively. As of December 31, 2023, all of the Company’s borrowings will mature within one calendar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contractual maturities of these borrowings as of December 31, 2023, are as follows (in thousands):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2024</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2025</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applicable income tax expense (benefit) for the years ended December 31, 2023, December 31, 2022, and December 31, 2021,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3"/>
        </w:trPr>
        <w:tc>
          <w:tcPr>
            <w:tcW w:w="63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w:t>
            </w:r>
          </w:p>
        </w:tc>
      </w:tr>
      <w:tr>
        <w:trPr>
          <w:trHeight w:val="250"/>
        </w:trPr>
        <w:tc>
          <w:tcPr>
            <w:tcW w:w="6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63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50"/>
        </w:trPr>
        <w:tc>
          <w:tcPr>
            <w:tcW w:w="63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Deferred income taxes are provided on the asset and liability method whereby deferred tax assets are recognized for deductible temporary differences and net operating losses and deferred tax liabilities are recognized for taxable temporary differences. Temporary differences are the differences between the reported amounts of assets and liabilities and net operating loss carry-forwards and their tax basis. Deferred tax assets are reduced by a valuation allowance when, in the opinion of management, it is more likely than not that some portion of the deferred tax assets will not be realized. Deferred tax assets and liabilities are adjusted for the effects of changes in tax laws and rates on the date of enactment.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and tax planning strategies in making this assessment. Based on the level of historical taxable income and projections for future taxable income over the periods in which the deferred tax assets are deductible, management believes it is more likely than not that the Company will realize the benefits of these deferred tax assets.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follows accounting guidance related to accounting for uncertainty in income taxes. Under the “more likely than not” threshold guidelines, the Company’s uncertain tax position reserve was $167 thousand and $291 thousand as of December 31, 2023, and December 31, 2022, respectively. The Company’s policy is to account for interest and penalties as a component of income tax expense. The Company is no longer subject to examination by federal, state, and local taxing authorities for years before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 (continued)</w:t>
      </w:r>
    </w:p>
    <w:p>
      <w:pPr>
        <w:spacing w:after="0" w:line="200" w:lineRule="exact"/>
        <w:rPr>
          <w:sz w:val="20"/>
          <w:szCs w:val="20"/>
          <w:color w:val="auto"/>
        </w:rPr>
      </w:pPr>
    </w:p>
    <w:p>
      <w:pPr>
        <w:spacing w:after="0" w:line="3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reconciles the amount of reported income tax expense in the financial statements to taxes that would be computed by applying the federal statutory tax rates to income before taxes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taxes using statutory rates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of tax-exempt municipal interest income, net of non-deductible interest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income from company-owned life insurance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income tax credits, net of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Merger-related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 net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impact of “temporary differences” between amounts of assets and liabilities for financial reporting purposes and such amounts as measured for tax purposes. Deferred tax assets and liabilities represent the future tax return consequences of temporary differences, which will either be taxable or deductible when the related assets and liabilities are recovered or settled.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deferred tax amounts in the accompanying Consolidated Balance Sheets include the following components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other accruals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Partnership investments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losses on securities available-for-sale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credit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losses on interest rate swaps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96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53,530</w:t>
            </w:r>
          </w:p>
        </w:tc>
      </w:tr>
      <w:tr>
        <w:trPr>
          <w:trHeight w:val="236"/>
        </w:trPr>
        <w:tc>
          <w:tcPr>
            <w:tcW w:w="8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accrual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gains on interest rate swaps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 of use asset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r>
      <w:tr>
        <w:trPr>
          <w:trHeight w:val="237"/>
        </w:trPr>
        <w:tc>
          <w:tcPr>
            <w:tcW w:w="80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49,298</w:t>
            </w:r>
          </w:p>
        </w:tc>
      </w:tr>
      <w:tr>
        <w:trPr>
          <w:trHeight w:val="45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pension benefits for eligible employees through a defined benefit pension plan. Employees hired prior to June 1, 2005 participate in the retirement plan on a non-contributing basis and were fully vested after five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Plan’s status and related disclosures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benefit obligation:</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(gain)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w:t>
            </w:r>
          </w:p>
        </w:tc>
      </w:tr>
      <w:tr>
        <w:trPr>
          <w:trHeight w:val="250"/>
        </w:trPr>
        <w:tc>
          <w:tcPr>
            <w:tcW w:w="8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46,017</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 to beginning of year fair value</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 contribution</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31,968</w:t>
            </w:r>
          </w:p>
        </w:tc>
      </w:tr>
      <w:tr>
        <w:trPr>
          <w:trHeight w:val="250"/>
        </w:trPr>
        <w:tc>
          <w:tcPr>
            <w:tcW w:w="80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recognized as accrued pension cost</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50"/>
        </w:trPr>
        <w:tc>
          <w:tcPr>
            <w:tcW w:w="8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amount recognized</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w:t>
            </w:r>
          </w:p>
        </w:tc>
      </w:tr>
      <w:tr>
        <w:trPr>
          <w:trHeight w:val="250"/>
        </w:trPr>
        <w:tc>
          <w:tcPr>
            <w:tcW w:w="80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28,184</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December 31, 2022, and December 31, 2021, the assumptions used to determine the pension benefit obligation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4.80 %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2.76 %</w:t>
            </w:r>
          </w:p>
        </w:tc>
      </w:tr>
      <w:tr>
        <w:trPr>
          <w:trHeight w:val="234"/>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net periodic benefit cost and other amounts recognized in other comprehensive income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pension cost: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costs</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50"/>
        </w:trPr>
        <w:tc>
          <w:tcPr>
            <w:tcW w:w="6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 recognized in other comprehensive (income)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accumulated other comprehensive (income) loss</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50"/>
        </w:trPr>
        <w:tc>
          <w:tcPr>
            <w:tcW w:w="63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pension costs and other comprehensive loss</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December 31, 2022, and December 31, 2021, the assumptions used to determine net periodic pension cost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4.80 %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2.76 %</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salary increase</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expected long-term return on plan assets assumption was developed as a weighted average rate based on the target asset allocation of the plan and the long-term capital market assumptions. The overall return for each asset class was developed by combining a long-term inflation component and the associated expected real rates. The development of the capital market assumptions utilized a variety of methodologies, including, but not limited to, historical analysis, stock valuation models, such as dividend discount models, and earnings yield models, expected economic growth outlook, and market yields analysis.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pension plan asset allocations at December 31, 2023, and December 31, 2022,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securities &amp; cash equivalents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December 31, 2022, the fair value of plan assets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Assets at Fair Value</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w:t>
            </w:r>
          </w:p>
        </w:tc>
      </w:tr>
      <w:tr>
        <w:trPr>
          <w:trHeight w:val="22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pension assets</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33,068</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33,190</w:t>
            </w:r>
          </w:p>
        </w:tc>
      </w:tr>
      <w:tr>
        <w:trPr>
          <w:trHeight w:val="456"/>
        </w:trPr>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9"/>
        </w:trPr>
        <w:tc>
          <w:tcPr>
            <w:tcW w:w="4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Assets at Fair Value</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w:t>
            </w:r>
          </w:p>
        </w:tc>
      </w:tr>
      <w:tr>
        <w:trPr>
          <w:trHeight w:val="22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pension assets</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32,032</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are valued using a combination of methods including quoted prices for similar assets in active or non-active markets.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fund is sufficiently diversified to maintain a reasonable level of risk without imprudently sacrificing return. Investments are selected by officers experienced in financial matters and risk management, and implementation of approved investment strategies is monitored on a regular basis. Both actively and passively managed investment strategies are considered, and funds are allocated across asset classes to develop an efficient investment structure.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is the responsibility of the trustee to consider costs in administering the portfolio, while maintaining high quality investments. Costs include, but are not limited to, management and custodial fees, consulting fees, transaction costs, and other administrative costs which may be charged to the trust.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expect to contribute to its pension plan in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future benefit payments, which reflect expected future service, as appropriate,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Following 5 years</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Post-Retirement Plans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and Savings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an investment and savings plan for its employees. In the month following date of hire, an employee is eligible to participate in the investment and savings plan if they are at least 18 years old. A participant may elect to defer up to 90% of their annual compensation, not to exceed limitations established by the Internal Revenue Code. On behalf of each participant who makes the election, the Company contributes an amount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Post-Retirement Plans (continued)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3.5% of the amount contributed by the participant. The Company’s contributions in 2023, 2022, and 2021 totaled $1.04 million, $1.02 million, and $1.02 million, respectively, which were included within pensions and other employee benefits on the Consolidated Statements of Income.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Retirement Plans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 deferred compensation plan for some of its directors and senior officers that provides benefits payable at age 65. The deferred compensation is to be paid to the individual or beneficiary over a period of 15 years. Amounts deferred are invested in increasing whole life insurance policies on the participants’ lives with the Company as owner and beneficiary. Amounts recognized for the increase in the cash surrender value of the policies are offset against the expense. The Company recognized net income of $33 thousand in 2023, $61 thousand in 2022, and $57 thousand in 2021, related to this deferred compensation plan.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2010, the Company adopted a Supplemental Executive Retirement Plan for a number of its executive officers. The plan is intended to be unfunded and maintained primarily for the purpose of providing deferred compensation to its participants. The benefits of the plan vest incrementally based on years of service. Plan expenses for the years ending December 31, 2023, December 31, 2022, and December 31, 2021, amounted to $522 thousand, $290 thousand, and $459 thousand, respectively.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2021, the Company formed a new deferred compensation plan (2021 Deferred Compensation Plan) for current directors and senior officers. The plan is funded with director fees and salary reductions which are placed in a trust account invested by the Company. The trust investments consist of equity investments, fixed income investments, and cash. The trust account balance totaled $818 thousand and $496 thousand at December 31, 2023, and December 31, 2022, respectively. This balance is included within other assets and is directly offset within other liabilities. Amounts contributed to the trust and recorded as expense for the Company totaled $341 thousand and $212 thousand, respectively, in 2023 and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two years to around twelve years and may contain renewal options.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lease income, which was included in non-interest expense on the Consolidated Statements of Income, were as follows for the year ending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466"/>
        </w:trPr>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December 31, 2023, are as follows (in thousands):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 (continued)</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Lessee Arrangements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Company’s leases range from less than one year to around fifteen years. The lease agreements do not provide for residual value guarantees and have no restrictions or covenants that would impact dividends or require incurring additional financial obligations.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fourth quarter of 2022 the Company sold two buildings in separate transactions and entered into sale-leaseback agreements to lease back the properties for up to one year. The lease terms were at market with third-parties and resulted in $655 thousand of operating lease expense in 2023. The sale of the two buildings resulted in a realized gain of $3.7 million that was recognized in the fourth quarter of 2022.</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8,700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5,327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23"/>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9,167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0" w:type="dxa"/>
            <w:vAlign w:val="bottom"/>
          </w:tcPr>
          <w:p>
            <w:pPr>
              <w:spacing w:after="0"/>
              <w:rPr>
                <w:sz w:val="1"/>
                <w:szCs w:val="1"/>
                <w:color w:val="auto"/>
              </w:rPr>
            </w:pPr>
          </w:p>
        </w:tc>
      </w:tr>
      <w:tr>
        <w:trPr>
          <w:trHeight w:val="466"/>
        </w:trPr>
        <w:tc>
          <w:tcPr>
            <w:tcW w:w="80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components of total lease cost were as follows for the period ending (in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2,495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2,762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 (continued)</w:t>
      </w:r>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December 31, 2023,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2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29"/>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466"/>
        </w:trPr>
        <w:tc>
          <w:tcPr>
            <w:tcW w:w="99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December 31, 2023, and December 31, 2022.</w:t>
            </w:r>
          </w:p>
        </w:tc>
        <w:tc>
          <w:tcPr>
            <w:tcW w:w="1340" w:type="dxa"/>
            <w:vAlign w:val="bottom"/>
          </w:tcPr>
          <w:p>
            <w:pPr>
              <w:spacing w:after="0"/>
              <w:rPr>
                <w:sz w:val="24"/>
                <w:szCs w:val="24"/>
                <w:color w:val="auto"/>
              </w:rPr>
            </w:pPr>
          </w:p>
        </w:tc>
      </w:tr>
      <w:tr>
        <w:trPr>
          <w:trHeight w:val="36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70"/>
        </w:trPr>
        <w:tc>
          <w:tcPr>
            <w:tcW w:w="7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7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Regulatory Capital Matters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Banks and bank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Committee on Banking Supervision’s capital guidelines for U.S. Banks (“Basel III rules”), an entity must hold a capital conservation buffer above the adequately capitalized risk-based capital ratios. The net unrealized gain or loss on AFS securities is not included in computing regulatory capital. Management believes as of December 31, 2023, the Company and the Bank meet all capital adequacy requirements to which they are subject.</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December 31, 2023, and December 31, 2022,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Regulatory Capital Matters (continued)</w:t>
      </w:r>
    </w:p>
    <w:p>
      <w:pPr>
        <w:spacing w:after="0" w:line="200" w:lineRule="exact"/>
        <w:rPr>
          <w:sz w:val="20"/>
          <w:szCs w:val="20"/>
          <w:color w:val="auto"/>
        </w:rPr>
      </w:pPr>
    </w:p>
    <w:p>
      <w:pPr>
        <w:spacing w:after="0" w:line="3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actual and required capital amounts and ratios for the Company and the Bank at December 31, 2023, and December 31, 2022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 Required for Capital Adequacy</w:t>
            </w:r>
          </w:p>
        </w:tc>
        <w:tc>
          <w:tcPr>
            <w:tcW w:w="120" w:type="dxa"/>
            <w:vAlign w:val="bottom"/>
          </w:tcPr>
          <w:p>
            <w:pPr>
              <w:spacing w:after="0"/>
              <w:rPr>
                <w:sz w:val="13"/>
                <w:szCs w:val="13"/>
                <w:color w:val="auto"/>
              </w:rPr>
            </w:pPr>
          </w:p>
        </w:tc>
        <w:tc>
          <w:tcPr>
            <w:tcW w:w="256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 Be Well Capitalized Under Prompt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Purposes (includes applicable capital</w:t>
            </w:r>
          </w:p>
        </w:tc>
        <w:tc>
          <w:tcPr>
            <w:tcW w:w="12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conservation buffer)</w:t>
            </w:r>
          </w:p>
        </w:tc>
        <w:tc>
          <w:tcPr>
            <w:tcW w:w="120" w:type="dxa"/>
            <w:vAlign w:val="bottom"/>
          </w:tcPr>
          <w:p>
            <w:pPr>
              <w:spacing w:after="0"/>
              <w:rPr>
                <w:sz w:val="17"/>
                <w:szCs w:val="17"/>
                <w:color w:val="auto"/>
              </w:rPr>
            </w:pPr>
          </w:p>
        </w:tc>
        <w:tc>
          <w:tcPr>
            <w:tcW w:w="25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Corrective Action Regulations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17.88 %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260,694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248,280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17.82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260,626</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248,215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(Core) Capital to risk-weighted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16.85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211,038</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198,624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210,983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198,572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Common Tier 1 (CET 1) to risk-weighted</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16.85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173,796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161,382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173,751</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161,340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(Core) Capital to average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147,965</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184,957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184,982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433,958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18.88 %</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241,325</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229,834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241,368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229,874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(Core) Capital to risk-weighted assets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195,358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186,867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411,251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17.89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195,393</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183,900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Common Tier 1 (CET 1) to risk-weighted</w:t>
            </w: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412,946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160,883</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149,392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17.89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160,912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149,418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(Core) Capital to average assets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145,605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182,007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411,251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11.30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145,605</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182,007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December 31, 2023, approximately $181.8 million of retained earnings was available for dividend declaration without regulatory approval.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net interest income and to manage its exposure to interest rate movements. To accomplish this objective, the Company primarily uses interest rate swaps and floors as part of its risk management strategy. Interest rate swaps designated as cash flow hedges involve the receipt of variable amounts from a counterparty in exchange for the Company making fixed-rate payments over the life of the agreements without exchange of the underlying notional amount. Other interest rate swaps designated as cash flow hedges involve the receipt of fixed-rate amounts from a counterparty in exchange for the Company making variable-rate payments over the life of the agreements without exchange of the underlying notional amount. During 2023, such derivatives were used to hedge the variable cash flows associated with variable-rate debt and assets.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2024, the Company estimates that an additional $0.6 million will be reclassified as a reduction to interest income, and an additional $1.2 million will be reclassified as a reduction to interest expense.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hedging its exposure to the variability in future cash flow for forecasted transactions over a maximum period of 4 months (excluding forecasted transactions related to the payment of variable interest on existing financial instruments).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December 31, 2023, and December 31, 2022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6"/>
                <w:szCs w:val="16"/>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70"/>
        </w:trPr>
        <w:tc>
          <w:tcPr>
            <w:tcW w:w="6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6"/>
                <w:szCs w:val="16"/>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70"/>
        </w:trPr>
        <w:tc>
          <w:tcPr>
            <w:tcW w:w="62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4"/>
        </w:trPr>
        <w:tc>
          <w:tcPr>
            <w:tcW w:w="6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bl>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years ended December 31, 2023,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(in thousands):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70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40" w:type="dxa"/>
            <w:vAlign w:val="bottom"/>
          </w:tcPr>
          <w:p>
            <w:pPr>
              <w:spacing w:after="0"/>
              <w:rPr>
                <w:sz w:val="11"/>
                <w:szCs w:val="11"/>
                <w:color w:val="auto"/>
              </w:rPr>
            </w:pPr>
          </w:p>
        </w:tc>
        <w:tc>
          <w:tcPr>
            <w:tcW w:w="94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80" w:type="dxa"/>
            <w:vAlign w:val="bottom"/>
          </w:tcPr>
          <w:p>
            <w:pPr>
              <w:spacing w:after="0"/>
              <w:rPr>
                <w:sz w:val="11"/>
                <w:szCs w:val="11"/>
                <w:color w:val="auto"/>
              </w:rPr>
            </w:pPr>
          </w:p>
        </w:tc>
        <w:tc>
          <w:tcPr>
            <w:tcW w:w="900" w:type="dxa"/>
            <w:vAlign w:val="bottom"/>
          </w:tcPr>
          <w:p>
            <w:pPr>
              <w:jc w:val="center"/>
              <w:ind w:right="8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35"/>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700" w:type="dxa"/>
            <w:vAlign w:val="bottom"/>
            <w:vMerge w:val="continue"/>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40" w:type="dxa"/>
            <w:vAlign w:val="bottom"/>
          </w:tcPr>
          <w:p>
            <w:pPr>
              <w:spacing w:after="0"/>
              <w:rPr>
                <w:sz w:val="11"/>
                <w:szCs w:val="11"/>
                <w:color w:val="auto"/>
              </w:rPr>
            </w:pPr>
          </w:p>
        </w:tc>
        <w:tc>
          <w:tcPr>
            <w:tcW w:w="94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2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80" w:type="dxa"/>
            <w:vAlign w:val="bottom"/>
          </w:tcPr>
          <w:p>
            <w:pPr>
              <w:spacing w:after="0"/>
              <w:rPr>
                <w:sz w:val="11"/>
                <w:szCs w:val="11"/>
                <w:color w:val="auto"/>
              </w:rPr>
            </w:pPr>
          </w:p>
        </w:tc>
        <w:tc>
          <w:tcPr>
            <w:tcW w:w="900" w:type="dxa"/>
            <w:vAlign w:val="bottom"/>
          </w:tcPr>
          <w:p>
            <w:pPr>
              <w:jc w:val="center"/>
              <w:ind w:right="87"/>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0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2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80" w:type="dxa"/>
            <w:vAlign w:val="bottom"/>
          </w:tcPr>
          <w:p>
            <w:pPr>
              <w:spacing w:after="0"/>
              <w:rPr>
                <w:sz w:val="15"/>
                <w:szCs w:val="15"/>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40" w:type="dxa"/>
            <w:vAlign w:val="bottom"/>
          </w:tcPr>
          <w:p>
            <w:pPr>
              <w:spacing w:after="0"/>
              <w:rPr>
                <w:sz w:val="15"/>
                <w:szCs w:val="15"/>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5"/>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70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40" w:type="dxa"/>
            <w:vAlign w:val="bottom"/>
          </w:tcPr>
          <w:p>
            <w:pPr>
              <w:spacing w:after="0"/>
              <w:rPr>
                <w:sz w:val="11"/>
                <w:szCs w:val="11"/>
                <w:color w:val="auto"/>
              </w:rPr>
            </w:pPr>
          </w:p>
        </w:tc>
        <w:tc>
          <w:tcPr>
            <w:tcW w:w="94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80" w:type="dxa"/>
            <w:vAlign w:val="bottom"/>
          </w:tcPr>
          <w:p>
            <w:pPr>
              <w:spacing w:after="0"/>
              <w:rPr>
                <w:sz w:val="11"/>
                <w:szCs w:val="11"/>
                <w:color w:val="auto"/>
              </w:rPr>
            </w:pPr>
          </w:p>
        </w:tc>
        <w:tc>
          <w:tcPr>
            <w:tcW w:w="900" w:type="dxa"/>
            <w:vAlign w:val="bottom"/>
          </w:tcPr>
          <w:p>
            <w:pPr>
              <w:jc w:val="center"/>
              <w:ind w:right="8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35"/>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700" w:type="dxa"/>
            <w:vAlign w:val="bottom"/>
            <w:vMerge w:val="continue"/>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40" w:type="dxa"/>
            <w:vAlign w:val="bottom"/>
          </w:tcPr>
          <w:p>
            <w:pPr>
              <w:spacing w:after="0"/>
              <w:rPr>
                <w:sz w:val="11"/>
                <w:szCs w:val="11"/>
                <w:color w:val="auto"/>
              </w:rPr>
            </w:pPr>
          </w:p>
        </w:tc>
        <w:tc>
          <w:tcPr>
            <w:tcW w:w="94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2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80" w:type="dxa"/>
            <w:vAlign w:val="bottom"/>
          </w:tcPr>
          <w:p>
            <w:pPr>
              <w:spacing w:after="0"/>
              <w:rPr>
                <w:sz w:val="11"/>
                <w:szCs w:val="11"/>
                <w:color w:val="auto"/>
              </w:rPr>
            </w:pPr>
          </w:p>
        </w:tc>
        <w:tc>
          <w:tcPr>
            <w:tcW w:w="900" w:type="dxa"/>
            <w:vAlign w:val="bottom"/>
          </w:tcPr>
          <w:p>
            <w:pPr>
              <w:jc w:val="center"/>
              <w:ind w:right="87"/>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0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2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80" w:type="dxa"/>
            <w:vAlign w:val="bottom"/>
          </w:tcPr>
          <w:p>
            <w:pPr>
              <w:spacing w:after="0"/>
              <w:rPr>
                <w:sz w:val="15"/>
                <w:szCs w:val="15"/>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40" w:type="dxa"/>
            <w:vAlign w:val="bottom"/>
          </w:tcPr>
          <w:p>
            <w:pPr>
              <w:spacing w:after="0"/>
              <w:rPr>
                <w:sz w:val="15"/>
                <w:szCs w:val="15"/>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7"/>
                <w:szCs w:val="17"/>
                <w:color w:val="auto"/>
              </w:rPr>
            </w:pPr>
          </w:p>
        </w:tc>
        <w:tc>
          <w:tcPr>
            <w:tcW w:w="1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9"/>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70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1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40" w:type="dxa"/>
            <w:vAlign w:val="bottom"/>
          </w:tcPr>
          <w:p>
            <w:pPr>
              <w:spacing w:after="0"/>
              <w:rPr>
                <w:sz w:val="11"/>
                <w:szCs w:val="11"/>
                <w:color w:val="auto"/>
              </w:rPr>
            </w:pPr>
          </w:p>
        </w:tc>
        <w:tc>
          <w:tcPr>
            <w:tcW w:w="94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80" w:type="dxa"/>
            <w:vAlign w:val="bottom"/>
          </w:tcPr>
          <w:p>
            <w:pPr>
              <w:spacing w:after="0"/>
              <w:rPr>
                <w:sz w:val="11"/>
                <w:szCs w:val="11"/>
                <w:color w:val="auto"/>
              </w:rPr>
            </w:pPr>
          </w:p>
        </w:tc>
        <w:tc>
          <w:tcPr>
            <w:tcW w:w="900" w:type="dxa"/>
            <w:vAlign w:val="bottom"/>
          </w:tcPr>
          <w:p>
            <w:pPr>
              <w:jc w:val="center"/>
              <w:ind w:right="8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35"/>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0" w:type="dxa"/>
            <w:vAlign w:val="bottom"/>
          </w:tcPr>
          <w:p>
            <w:pPr>
              <w:spacing w:after="0"/>
              <w:rPr>
                <w:sz w:val="11"/>
                <w:szCs w:val="11"/>
                <w:color w:val="auto"/>
              </w:rPr>
            </w:pPr>
          </w:p>
        </w:tc>
        <w:tc>
          <w:tcPr>
            <w:tcW w:w="9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700" w:type="dxa"/>
            <w:vAlign w:val="bottom"/>
            <w:vMerge w:val="continue"/>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40" w:type="dxa"/>
            <w:vAlign w:val="bottom"/>
          </w:tcPr>
          <w:p>
            <w:pPr>
              <w:spacing w:after="0"/>
              <w:rPr>
                <w:sz w:val="11"/>
                <w:szCs w:val="11"/>
                <w:color w:val="auto"/>
              </w:rPr>
            </w:pPr>
          </w:p>
        </w:tc>
        <w:tc>
          <w:tcPr>
            <w:tcW w:w="94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2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80" w:type="dxa"/>
            <w:vAlign w:val="bottom"/>
          </w:tcPr>
          <w:p>
            <w:pPr>
              <w:spacing w:after="0"/>
              <w:rPr>
                <w:sz w:val="11"/>
                <w:szCs w:val="11"/>
                <w:color w:val="auto"/>
              </w:rPr>
            </w:pPr>
          </w:p>
        </w:tc>
        <w:tc>
          <w:tcPr>
            <w:tcW w:w="900" w:type="dxa"/>
            <w:vAlign w:val="bottom"/>
          </w:tcPr>
          <w:p>
            <w:pPr>
              <w:jc w:val="center"/>
              <w:ind w:right="87"/>
              <w:spacing w:after="0" w:line="135"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0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2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80" w:type="dxa"/>
            <w:vAlign w:val="bottom"/>
          </w:tcPr>
          <w:p>
            <w:pPr>
              <w:spacing w:after="0"/>
              <w:rPr>
                <w:sz w:val="15"/>
                <w:szCs w:val="15"/>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40" w:type="dxa"/>
            <w:vAlign w:val="bottom"/>
          </w:tcPr>
          <w:p>
            <w:pPr>
              <w:spacing w:after="0"/>
              <w:rPr>
                <w:sz w:val="15"/>
                <w:szCs w:val="15"/>
                <w:color w:val="auto"/>
              </w:rPr>
            </w:pPr>
          </w:p>
        </w:tc>
        <w:tc>
          <w:tcPr>
            <w:tcW w:w="94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7"/>
                <w:szCs w:val="17"/>
                <w:color w:val="auto"/>
              </w:rPr>
            </w:pPr>
          </w:p>
        </w:tc>
        <w:tc>
          <w:tcPr>
            <w:tcW w:w="1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200" w:lineRule="exact"/>
        <w:rPr>
          <w:sz w:val="20"/>
          <w:szCs w:val="20"/>
          <w:color w:val="auto"/>
        </w:rPr>
      </w:pPr>
    </w:p>
    <w:p>
      <w:pPr>
        <w:spacing w:after="0" w:line="3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as of December 31, 2023, and December 31, 2022 (in thousands).</w:t>
      </w:r>
    </w:p>
    <w:p>
      <w:pPr>
        <w:spacing w:after="0" w:line="149"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w:t>
      </w: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Relationships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8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20" w:type="dxa"/>
            <w:vAlign w:val="bottom"/>
            <w:tcBorders>
              <w:top w:val="single" w:sz="8" w:color="auto"/>
            </w:tcBorders>
          </w:tcPr>
          <w:p>
            <w:pPr>
              <w:ind w:left="26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8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8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ind w:left="8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80" w:type="dxa"/>
            <w:vAlign w:val="bottom"/>
            <w:tcBorders>
              <w:top w:val="single" w:sz="8" w:color="auto"/>
            </w:tcBorders>
          </w:tcPr>
          <w:p>
            <w:pPr>
              <w:ind w:left="80"/>
              <w:spacing w:after="0" w:line="157"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8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416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Total amounts of income and expense line items presented in</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the statement of financial performance in which the effects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7"/>
              </w:rPr>
              <w:t>(167)</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fair value or cash flow hedges are recorded.</w:t>
            </w: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Gain or (loss) on fair value hedging relationships in Subtopic 815-20</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Hedging items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7"/>
              </w:rPr>
              <w:t>(167)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w:t>
            </w: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gridSpan w:val="2"/>
          </w:tcPr>
          <w:p>
            <w:pPr>
              <w:ind w:left="500"/>
              <w:spacing w:after="0" w:line="162" w:lineRule="exact"/>
              <w:rPr>
                <w:sz w:val="20"/>
                <w:szCs w:val="20"/>
                <w:color w:val="auto"/>
              </w:rPr>
            </w:pPr>
            <w:r>
              <w:rPr>
                <w:rFonts w:ascii="Times New Roman" w:cs="Times New Roman" w:eastAsia="Times New Roman" w:hAnsi="Times New Roman"/>
                <w:sz w:val="16"/>
                <w:szCs w:val="16"/>
                <w:color w:val="auto"/>
              </w:rPr>
              <w:t>income as a result that a forecasted transaction is no</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4"/>
                <w:szCs w:val="14"/>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00" w:type="dxa"/>
            <w:vAlign w:val="bottom"/>
            <w:gridSpan w:val="3"/>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longer probable of occurring</w:t>
            </w: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160" w:type="dxa"/>
            <w:vAlign w:val="bottom"/>
            <w:gridSpan w:val="2"/>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Amount of Gain or (Loss) Reclassified from AOCI into</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7"/>
              </w:rPr>
              <w:t>(167)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 Included Component</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w:t>
            </w:r>
          </w:p>
        </w:tc>
        <w:tc>
          <w:tcPr>
            <w:tcW w:w="180" w:type="dxa"/>
            <w:vAlign w:val="bottom"/>
          </w:tcPr>
          <w:p>
            <w:pPr>
              <w:spacing w:after="0"/>
              <w:rPr>
                <w:sz w:val="14"/>
                <w:szCs w:val="14"/>
                <w:color w:val="auto"/>
              </w:rPr>
            </w:pPr>
          </w:p>
        </w:tc>
        <w:tc>
          <w:tcPr>
            <w:tcW w:w="10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4"/>
                <w:szCs w:val="14"/>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10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00" w:type="dxa"/>
            <w:vAlign w:val="bottom"/>
            <w:gridSpan w:val="3"/>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Income - Excluded Component</w:t>
            </w: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left="660" w:hanging="4"/>
        <w:spacing w:after="0" w:line="250" w:lineRule="auto"/>
        <w:tabs>
          <w:tab w:leader="none" w:pos="85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the amortization of other discounts or premiums on the hedged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fair value of derivatives in a net liability position, which includes accrued interest but excludes any adjustment for non-performance risk related to these agreements, was $982 thousand. As of December 31, 2023, the Company has posted the full amount of collateral related to these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lock commitments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Commitments to fund consumer mortgage loans (interest rate lock commitments) to be sold into the secondary market are defined as derivatives under GAAP. The Company enters into best effort forward commitments for the future delivery of mortgage loans to third-party investors. The Company has elected the fair value option (“FVO”) on both the best-efforts forward commitments and the consumer mortgage loans held-for-sale in order to economically hedge the effect of changes in interest rates resulting from the commitment to fund the loans. Interest Rate lock commitments are not designated as hedging instruments, and therefore, changes in the fair value of these free-standing derivative instruments are reported as non-interest income.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gains (losses) relating to the free-standing derivative instruments (interest rate lock commitments) were $8 thousand, $(13) thousand, and $13 thousand, at December 31, 2023, December 31, 2022, and December 31, 2021, respectively. The notional amount of the mortgage loan pipeline that resulted in an interest rate lock commitments at December 31, 2023, December 31, 2022, and December 31, 2021, was $3.4 million, zero,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$926 thousand, respectively. Interest Rate lock commitments are not designated as hedging instruments, and therefore changes in the fair value of these free-standing derivative instruments are reported as non-interest income.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extension commitments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December 31, 2023, and December 31, 2022,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291,265</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w:t>
            </w:r>
          </w:p>
        </w:tc>
      </w:tr>
    </w:tbl>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off-balance-sheet credit exposures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 recapture of credit losses on unfunded commitments of $21 thousand for the year ended December 31, 2023. The ACL on off-balance-sheet credit exposures totaled $254 thousand at December 31, 2023, and is included in accrued interest and other liabilities on the accompanying Consolidated Balance Sheets.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Transactions with Related Parties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Loans to directors and principal officers, including their immediate families and affiliated companies in which they have a direct or indirect material interest, are considered to be related parties.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loan balances with related parties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ending</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124,414</w:t>
            </w: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the loans are past due, on non-accrual status, or have been restructured to provide a reduction or deferral of interest or principal because of deterioration in the financial position of the borrower. There were no loans to a related party that were considered classified loans at December 31, 2023, or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Transactions with Related Parties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Deposits from related parties at years ended December 31, 2023, and December 31, 2022, were $103.6 million and $109.1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Loans held-for-sale, at fair value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0" w:type="dxa"/>
            <w:vAlign w:val="bottom"/>
          </w:tcPr>
          <w:p>
            <w:pPr>
              <w:spacing w:after="0"/>
              <w:rPr>
                <w:sz w:val="1"/>
                <w:szCs w:val="1"/>
                <w:color w:val="auto"/>
              </w:rPr>
            </w:pPr>
          </w:p>
        </w:tc>
      </w:tr>
      <w:tr>
        <w:trPr>
          <w:trHeight w:val="230"/>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Obligations of state and municipalities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463,203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0" w:type="dxa"/>
            <w:vAlign w:val="bottom"/>
          </w:tcPr>
          <w:p>
            <w:pPr>
              <w:spacing w:after="0"/>
              <w:rPr>
                <w:sz w:val="1"/>
                <w:szCs w:val="1"/>
                <w:color w:val="auto"/>
              </w:rPr>
            </w:pPr>
          </w:p>
        </w:tc>
      </w:tr>
      <w:tr>
        <w:trPr>
          <w:trHeight w:val="230"/>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266,031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backed</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77,936</w:t>
            </w: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1,248,439</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 Using: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174,993</w:t>
            </w: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Obligations of state and municipalities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53,061</w:t>
            </w:r>
          </w:p>
        </w:tc>
        <w:tc>
          <w:tcPr>
            <w:tcW w:w="0" w:type="dxa"/>
            <w:vAlign w:val="bottom"/>
          </w:tcPr>
          <w:p>
            <w:pPr>
              <w:spacing w:after="0"/>
              <w:rPr>
                <w:sz w:val="1"/>
                <w:szCs w:val="1"/>
                <w:color w:val="auto"/>
              </w:rPr>
            </w:pPr>
          </w:p>
        </w:tc>
      </w:tr>
      <w:tr>
        <w:trPr>
          <w:trHeight w:val="229"/>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339,295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59,933</w:t>
            </w:r>
          </w:p>
        </w:tc>
        <w:tc>
          <w:tcPr>
            <w:tcW w:w="0" w:type="dxa"/>
            <w:vAlign w:val="bottom"/>
          </w:tcPr>
          <w:p>
            <w:pPr>
              <w:spacing w:after="0"/>
              <w:rPr>
                <w:sz w:val="1"/>
                <w:szCs w:val="1"/>
                <w:color w:val="auto"/>
              </w:rPr>
            </w:pPr>
          </w:p>
        </w:tc>
      </w:tr>
      <w:tr>
        <w:trPr>
          <w:trHeight w:val="230"/>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183,299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backed</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98,626</w:t>
            </w:r>
          </w:p>
        </w:tc>
        <w:tc>
          <w:tcPr>
            <w:tcW w:w="0" w:type="dxa"/>
            <w:vAlign w:val="bottom"/>
          </w:tcPr>
          <w:p>
            <w:pPr>
              <w:spacing w:after="0"/>
              <w:rPr>
                <w:sz w:val="1"/>
                <w:szCs w:val="1"/>
                <w:color w:val="auto"/>
              </w:rPr>
            </w:pPr>
          </w:p>
        </w:tc>
      </w:tr>
      <w:tr>
        <w:trPr>
          <w:trHeight w:val="230"/>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1,371,757</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Individually evaluated loans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the adoption of CECL, loans individually evaluated for credit expected losses included non-accrual loans and other loans that do not share similar risk characteristics to loans in the CECL loan pools and have been classified as Level 3. Individually evaluated loans with an allocation to the ACL are measured at fair value on a non-recurring basis. Any fair value adjustments are recorded in the period incurred as provision for credit losses on the Consolidated Statements of Income. Prior to adoption of CECL and ASU 2022-02, which eliminated the TDR accounting model, loans were designated as impaired when, in the judgment of management and based on current information and events, it was probable that all amounts due, according to the contractual terms of the loan agreement, would not be collected.</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measurement of loss associated with impaired loans can be based on either the observable market price of the loan, the present value of the expected future cash flows, or the fair value of the collateral. Generally, the fair value of impaired loans will be determined by the present value of the expected future cash flows or, if collateral-dependent, based on recent real estate appraisals. For collateral-dependent, the fair value is measured based on the value of the collateral securing the loans, less estimated costs of disposal. Collateral may be in the form of real estate or business assets, including equipment, inventory, and accounts receivable. The vast majority of the collateral is real estate. These appraisals may utilize a single valuation approach or a combination of approaches, including comparable sales and the income approach. Any fair value adjustments are recorded in the period incurred as provision for credit losses on the Consolidated Statements of Income and will result in a Level 3 fair value classification. Non-real estate collateral may be valued using an appraisal, net book value per the borrower’s financial statements, or aging reports, adjusted or discounted based on management’s historical knowledge,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market conditions from the time of the valuation, and management’s expertise and knowledge of the client and client’s business, resulting in a Level 3 fair value classification.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owned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These assets are subsequently accounted for at lower of cost or fair value less estimated costs to sell. Fair value is commonly based on recent real estate appraisals, which are updated no less frequently than annually. Any fair value adjustments are recorded in the period incurred and expensed against current earnings.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Loans: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12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Single family residential</w:t>
            </w:r>
          </w:p>
        </w:tc>
        <w:tc>
          <w:tcPr>
            <w:tcW w:w="12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2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 Using: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Loans: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12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Single family residential</w:t>
            </w:r>
          </w:p>
        </w:tc>
        <w:tc>
          <w:tcPr>
            <w:tcW w:w="12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2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 December 31, 2023, and December 31, 2022 (in thousands except for percentages):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3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5"/>
        </w:trPr>
        <w:tc>
          <w:tcPr>
            <w:tcW w:w="2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14"/>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External appraised values;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management assumptions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Income, Market, &amp; Discounted cash</w:t>
            </w:r>
          </w:p>
        </w:tc>
        <w:tc>
          <w:tcPr>
            <w:tcW w:w="2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regarding market trends, market</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10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2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rate for borrower, or other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3.6% - 9%</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5.4%</w:t>
            </w:r>
          </w:p>
        </w:tc>
        <w:tc>
          <w:tcPr>
            <w:tcW w:w="0" w:type="dxa"/>
            <w:vAlign w:val="bottom"/>
          </w:tcPr>
          <w:p>
            <w:pPr>
              <w:spacing w:after="0"/>
              <w:rPr>
                <w:sz w:val="1"/>
                <w:szCs w:val="1"/>
                <w:color w:val="auto"/>
              </w:rPr>
            </w:pPr>
          </w:p>
        </w:tc>
      </w:tr>
      <w:tr>
        <w:trPr>
          <w:trHeight w:val="213"/>
        </w:trPr>
        <w:tc>
          <w:tcPr>
            <w:tcW w:w="27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flow analysis</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relevant factors</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External appraised values;</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management assumptions</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Market, &amp; Discounted cash</w:t>
            </w:r>
          </w:p>
        </w:tc>
        <w:tc>
          <w:tcPr>
            <w:tcW w:w="2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regarding market trends, market</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shd w:val="clear" w:color="auto" w:fill="CCEEFF"/>
          </w:tcPr>
          <w:p>
            <w:pPr>
              <w:spacing w:after="0"/>
              <w:rPr>
                <w:sz w:val="14"/>
                <w:szCs w:val="14"/>
                <w:color w:val="auto"/>
              </w:rPr>
            </w:pPr>
          </w:p>
        </w:tc>
        <w:tc>
          <w:tcPr>
            <w:tcW w:w="2680" w:type="dxa"/>
            <w:vAlign w:val="bottom"/>
            <w:gridSpan w:val="2"/>
            <w:vMerge w:val="continue"/>
            <w:shd w:val="clear" w:color="auto" w:fill="CCEEFF"/>
          </w:tcPr>
          <w:p>
            <w:pPr>
              <w:spacing w:after="0"/>
              <w:rPr>
                <w:sz w:val="14"/>
                <w:szCs w:val="14"/>
                <w:color w:val="auto"/>
              </w:rPr>
            </w:pPr>
          </w:p>
        </w:tc>
        <w:tc>
          <w:tcPr>
            <w:tcW w:w="2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rate for borrower, or other</w:t>
            </w: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 - 6%</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5.2%</w:t>
            </w:r>
          </w:p>
        </w:tc>
        <w:tc>
          <w:tcPr>
            <w:tcW w:w="0" w:type="dxa"/>
            <w:vAlign w:val="bottom"/>
          </w:tcPr>
          <w:p>
            <w:pPr>
              <w:spacing w:after="0"/>
              <w:rPr>
                <w:sz w:val="1"/>
                <w:szCs w:val="1"/>
                <w:color w:val="auto"/>
              </w:rPr>
            </w:pPr>
          </w:p>
        </w:tc>
      </w:tr>
      <w:tr>
        <w:trPr>
          <w:trHeight w:val="216"/>
        </w:trPr>
        <w:tc>
          <w:tcPr>
            <w:tcW w:w="27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 analysis</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relevant factors</w:t>
            </w: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December 31, 2023, and December 31, 2022,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20" w:type="dxa"/>
            <w:vAlign w:val="bottom"/>
            <w:gridSpan w:val="9"/>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24"/>
                <w:szCs w:val="24"/>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24"/>
                <w:szCs w:val="2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Interest-bearing deposits with banks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1,897,459</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Non-interest-bearing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830,320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830,320</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830,320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2,167,218</w:t>
            </w: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borrowed funds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271,716</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20" w:type="dxa"/>
            <w:vAlign w:val="bottom"/>
            <w:gridSpan w:val="9"/>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 Using:</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24"/>
                <w:szCs w:val="24"/>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24"/>
                <w:szCs w:val="2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Interest-bearing deposits with banks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41,171</w:t>
            </w: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1,866,182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1,768,903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Non-interest-bearing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960,692</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1,951,227</w:t>
            </w: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borrowed funds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342,904</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Common Stock Transactions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2023, the Company reissued 2,950 shares of treasury stock to satisfy the vesting of RSUs. No other purchase or sale of the Company’s Common Stock occurred in 2023.</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15, 2022, the Company effected a forty-for-one stock split of its Common Stock by issuing thirty-nine additional shares of Common Stock for each outstanding share of Common Stock of record as of November 9, 2022. All share and earnings per share information have been retroactively adjusted to reflect the stock split within the financial statements and notes to the financial statements.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2022, the Company reissued 2,000 shares of treasury stock to satisfy the vesting of RSUs. No other purchase or sale of the Company’s Common Stock occurred in 2022.</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2021, the Company purchased shares of its own Common Stock on the open market in arms-length transactions. It acquired 90,040 shares at an aggregate cost of $4.4 million at prices ranging from $45.25 to $50.00 per share. Additionally, in early August 2021, the Company sold 64,000 shares to certain of its directors, pursuant to a private placement exemption from registration for aggregate consideration of $3.2 million and reissued 1,720 shares of treasury stock to satisfy the vesting of RSUs.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2023, 2022, and 2021, the Company declared and paid cash dividends of $2.12, $2.12, and $2.00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Accumulated Other Comprehensive Income (Loss)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years ending December 31, 2023, December 31, 2022, and December 31, 2021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 Losses on</w:t>
            </w:r>
          </w:p>
        </w:tc>
        <w:tc>
          <w:tcPr>
            <w:tcW w:w="100" w:type="dxa"/>
            <w:vAlign w:val="bottom"/>
          </w:tcPr>
          <w:p>
            <w:pPr>
              <w:spacing w:after="0"/>
              <w:rPr>
                <w:sz w:val="11"/>
                <w:szCs w:val="11"/>
                <w:color w:val="auto"/>
              </w:rPr>
            </w:pPr>
          </w:p>
        </w:tc>
        <w:tc>
          <w:tcPr>
            <w:tcW w:w="15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40" w:type="dxa"/>
            <w:vAlign w:val="bottom"/>
          </w:tcPr>
          <w:p>
            <w:pPr>
              <w:spacing w:after="0"/>
              <w:rPr>
                <w:sz w:val="11"/>
                <w:szCs w:val="11"/>
                <w:color w:val="auto"/>
              </w:rPr>
            </w:pPr>
          </w:p>
        </w:tc>
        <w:tc>
          <w:tcPr>
            <w:tcW w:w="14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560" w:type="dxa"/>
            <w:vAlign w:val="bottom"/>
          </w:tcPr>
          <w:p>
            <w:pPr>
              <w:spacing w:after="0"/>
              <w:rPr>
                <w:sz w:val="17"/>
                <w:szCs w:val="17"/>
                <w:color w:val="auto"/>
              </w:rPr>
            </w:pPr>
          </w:p>
        </w:tc>
        <w:tc>
          <w:tcPr>
            <w:tcW w:w="11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42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 Losses on</w:t>
            </w:r>
          </w:p>
        </w:tc>
        <w:tc>
          <w:tcPr>
            <w:tcW w:w="100" w:type="dxa"/>
            <w:vAlign w:val="bottom"/>
          </w:tcPr>
          <w:p>
            <w:pPr>
              <w:spacing w:after="0"/>
              <w:rPr>
                <w:sz w:val="11"/>
                <w:szCs w:val="11"/>
                <w:color w:val="auto"/>
              </w:rPr>
            </w:pPr>
          </w:p>
        </w:tc>
        <w:tc>
          <w:tcPr>
            <w:tcW w:w="15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40" w:type="dxa"/>
            <w:vAlign w:val="bottom"/>
          </w:tcPr>
          <w:p>
            <w:pPr>
              <w:spacing w:after="0"/>
              <w:rPr>
                <w:sz w:val="11"/>
                <w:szCs w:val="11"/>
                <w:color w:val="auto"/>
              </w:rPr>
            </w:pPr>
          </w:p>
        </w:tc>
        <w:tc>
          <w:tcPr>
            <w:tcW w:w="14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560" w:type="dxa"/>
            <w:vAlign w:val="bottom"/>
          </w:tcPr>
          <w:p>
            <w:pPr>
              <w:spacing w:after="0"/>
              <w:rPr>
                <w:sz w:val="17"/>
                <w:szCs w:val="17"/>
                <w:color w:val="auto"/>
              </w:rPr>
            </w:pPr>
          </w:p>
        </w:tc>
        <w:tc>
          <w:tcPr>
            <w:tcW w:w="11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(139,495)</w:t>
            </w:r>
          </w:p>
        </w:tc>
        <w:tc>
          <w:tcPr>
            <w:tcW w:w="0" w:type="dxa"/>
            <w:vAlign w:val="bottom"/>
          </w:tcPr>
          <w:p>
            <w:pPr>
              <w:spacing w:after="0"/>
              <w:rPr>
                <w:sz w:val="1"/>
                <w:szCs w:val="1"/>
                <w:color w:val="auto"/>
              </w:rPr>
            </w:pPr>
          </w:p>
        </w:tc>
      </w:tr>
      <w:tr>
        <w:trPr>
          <w:trHeight w:val="42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 Losses on</w:t>
            </w:r>
          </w:p>
        </w:tc>
        <w:tc>
          <w:tcPr>
            <w:tcW w:w="100" w:type="dxa"/>
            <w:vAlign w:val="bottom"/>
          </w:tcPr>
          <w:p>
            <w:pPr>
              <w:spacing w:after="0"/>
              <w:rPr>
                <w:sz w:val="11"/>
                <w:szCs w:val="11"/>
                <w:color w:val="auto"/>
              </w:rPr>
            </w:pPr>
          </w:p>
        </w:tc>
        <w:tc>
          <w:tcPr>
            <w:tcW w:w="15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40" w:type="dxa"/>
            <w:vAlign w:val="bottom"/>
          </w:tcPr>
          <w:p>
            <w:pPr>
              <w:spacing w:after="0"/>
              <w:rPr>
                <w:sz w:val="11"/>
                <w:szCs w:val="11"/>
                <w:color w:val="auto"/>
              </w:rPr>
            </w:pPr>
          </w:p>
        </w:tc>
        <w:tc>
          <w:tcPr>
            <w:tcW w:w="14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560" w:type="dxa"/>
            <w:vAlign w:val="bottom"/>
          </w:tcPr>
          <w:p>
            <w:pPr>
              <w:spacing w:after="0"/>
              <w:rPr>
                <w:sz w:val="17"/>
                <w:szCs w:val="17"/>
                <w:color w:val="auto"/>
              </w:rPr>
            </w:pPr>
          </w:p>
        </w:tc>
        <w:tc>
          <w:tcPr>
            <w:tcW w:w="11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Accumulated Other Comprehensive Income (Loss) (continued)</w:t>
      </w:r>
    </w:p>
    <w:p>
      <w:pPr>
        <w:spacing w:after="0" w:line="200" w:lineRule="exact"/>
        <w:rPr>
          <w:sz w:val="20"/>
          <w:szCs w:val="20"/>
          <w:color w:val="auto"/>
        </w:rPr>
      </w:pPr>
    </w:p>
    <w:p>
      <w:pPr>
        <w:spacing w:after="0" w:line="3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years ending December 31, 2023, December 31, 2022, and December 31, 2021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w:t>
            </w:r>
          </w:p>
        </w:tc>
        <w:tc>
          <w:tcPr>
            <w:tcW w:w="160" w:type="dxa"/>
            <w:vAlign w:val="bottom"/>
          </w:tcPr>
          <w:p>
            <w:pPr>
              <w:spacing w:after="0"/>
              <w:rPr>
                <w:sz w:val="16"/>
                <w:szCs w:val="16"/>
                <w:color w:val="auto"/>
              </w:rPr>
            </w:pPr>
          </w:p>
        </w:tc>
        <w:tc>
          <w:tcPr>
            <w:tcW w:w="4680" w:type="dxa"/>
            <w:vAlign w:val="bottom"/>
            <w:gridSpan w:val="7"/>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Amount Reclassified From Accumulated Other Comprehensive Income</w:t>
            </w:r>
          </w:p>
        </w:tc>
        <w:tc>
          <w:tcPr>
            <w:tcW w:w="100" w:type="dxa"/>
            <w:vAlign w:val="bottom"/>
          </w:tcPr>
          <w:p>
            <w:pPr>
              <w:spacing w:after="0"/>
              <w:rPr>
                <w:sz w:val="16"/>
                <w:szCs w:val="16"/>
                <w:color w:val="auto"/>
              </w:rPr>
            </w:pPr>
          </w:p>
        </w:tc>
        <w:tc>
          <w:tcPr>
            <w:tcW w:w="2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Affected Line Item in the Statements of</w:t>
            </w:r>
          </w:p>
        </w:tc>
        <w:tc>
          <w:tcPr>
            <w:tcW w:w="0" w:type="dxa"/>
            <w:vAlign w:val="bottom"/>
          </w:tcPr>
          <w:p>
            <w:pPr>
              <w:spacing w:after="0"/>
              <w:rPr>
                <w:sz w:val="1"/>
                <w:szCs w:val="1"/>
                <w:color w:val="auto"/>
              </w:rPr>
            </w:pPr>
          </w:p>
        </w:tc>
      </w:tr>
      <w:tr>
        <w:trPr>
          <w:trHeight w:val="23"/>
        </w:trPr>
        <w:tc>
          <w:tcPr>
            <w:tcW w:w="352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Components</w:t>
            </w:r>
          </w:p>
        </w:tc>
        <w:tc>
          <w:tcPr>
            <w:tcW w:w="160" w:type="dxa"/>
            <w:vAlign w:val="bottom"/>
          </w:tcPr>
          <w:p>
            <w:pPr>
              <w:spacing w:after="0"/>
              <w:rPr>
                <w:sz w:val="16"/>
                <w:szCs w:val="16"/>
                <w:color w:val="auto"/>
              </w:rPr>
            </w:pPr>
          </w:p>
        </w:tc>
        <w:tc>
          <w:tcPr>
            <w:tcW w:w="14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gains (losses) on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gains/(losses) on securities</w:t>
            </w:r>
          </w:p>
        </w:tc>
        <w:tc>
          <w:tcPr>
            <w:tcW w:w="0" w:type="dxa"/>
            <w:vAlign w:val="bottom"/>
          </w:tcPr>
          <w:p>
            <w:pPr>
              <w:spacing w:after="0"/>
              <w:rPr>
                <w:sz w:val="1"/>
                <w:szCs w:val="1"/>
                <w:color w:val="auto"/>
              </w:rPr>
            </w:pPr>
          </w:p>
        </w:tc>
      </w:tr>
      <w:tr>
        <w:trPr>
          <w:trHeight w:val="176"/>
        </w:trPr>
        <w:tc>
          <w:tcPr>
            <w:tcW w:w="352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Realized gains (losses) on basis adjustment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 fair value hedges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actuarial gain /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employee benefits</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Note: The Defined benefit pension plan items are included in the computation of net periodic pension cost. See </w:t>
      </w:r>
      <w:r>
        <w:rPr>
          <w:rFonts w:ascii="Times New Roman" w:cs="Times New Roman" w:eastAsia="Times New Roman" w:hAnsi="Times New Roman"/>
          <w:sz w:val="18"/>
          <w:szCs w:val="18"/>
          <w:u w:val="single" w:color="auto"/>
          <w:color w:val="0000FF"/>
        </w:rPr>
        <w:t>Note 9 — Defined Benefit 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Plan</w:t>
      </w:r>
      <w:r>
        <w:rPr>
          <w:rFonts w:ascii="Times New Roman" w:cs="Times New Roman" w:eastAsia="Times New Roman" w:hAnsi="Times New Roman"/>
          <w:sz w:val="18"/>
          <w:szCs w:val="18"/>
          <w:color w:val="000000"/>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Parent Company Financial Information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condensed financial statements for Burke &amp; Herbert Financial Services Corp., which commenced operations as a holding company on October 1, 2022, as of and for the years ended December 31, 2023, and December 31, 2022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 Only Condensed Balance Sheet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271,757</w:t>
            </w:r>
          </w:p>
        </w:tc>
      </w:tr>
      <w:tr>
        <w:trPr>
          <w:trHeight w:val="229"/>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273,966</w:t>
            </w:r>
          </w:p>
        </w:tc>
      </w:tr>
      <w:tr>
        <w:trPr>
          <w:trHeight w:val="250"/>
        </w:trPr>
        <w:tc>
          <w:tcPr>
            <w:tcW w:w="7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9"/>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70"/>
        </w:trPr>
        <w:tc>
          <w:tcPr>
            <w:tcW w:w="7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273,453</w:t>
            </w: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273,966</w:t>
            </w:r>
          </w:p>
        </w:tc>
      </w:tr>
      <w:tr>
        <w:trPr>
          <w:trHeight w:val="456"/>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 Only Condensed Statement of Income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Dividends from bank subsidiary</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r>
      <w:tr>
        <w:trPr>
          <w:trHeight w:val="223"/>
        </w:trPr>
        <w:tc>
          <w:tcPr>
            <w:tcW w:w="80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r>
      <w:tr>
        <w:trPr>
          <w:trHeight w:val="250"/>
        </w:trPr>
        <w:tc>
          <w:tcPr>
            <w:tcW w:w="7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3"/>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50"/>
        </w:trPr>
        <w:tc>
          <w:tcPr>
            <w:tcW w:w="7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benefit and equity in undistributed income of subsidiaries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r>
      <w:tr>
        <w:trPr>
          <w:trHeight w:val="23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(loss) before equity in undistributed income of subsidiaries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3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undistributed earnings of subsidiary</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38,862</w:t>
            </w: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Parent Company Financial Information (continued)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 Only Condensed Statement of Cash Flows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44,013</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(38,862)</w:t>
            </w: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change in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8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change in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r>
      <w:tr>
        <w:trPr>
          <w:trHeight w:val="250"/>
        </w:trPr>
        <w:tc>
          <w:tcPr>
            <w:tcW w:w="7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employee stock purchase program</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Treasury stock transactions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50"/>
        </w:trPr>
        <w:tc>
          <w:tcPr>
            <w:tcW w:w="7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50"/>
        </w:trPr>
        <w:tc>
          <w:tcPr>
            <w:tcW w:w="7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of the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 of the year</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Other Operating Expense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Statements of Income for years ended December 31, 2023, December 31, 2022, and December 31, 2021,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&amp; other regulatory assessment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Debit card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sale of buildings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merger-related expenses of $3.0 million for the year ended December 31, 2023. The substantial majority of the merger-related expenses are included in the consultant fees and legal expense line items detailed in other operating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Qualified Affordable Housing Project and Historic Tax Investments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invests in qualified affordable housing projects. At December 31, 2023, and December 31, 2022, the balance of the investment for qualified affordable housing projects was $18.0 million and $23.5 million, respectively. These balances are reflected in the other assets line on the Consolidated Balance Sheets. Total unfunded commitments related to the investments in qualified affordable housing projects totaled $0.7 million and $0.8 million at December 31, 2023, and December 31, 2022, respectively. The Company expects to fulfill the majority of these commitments by 2024.</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December 31, 2022, and December 31, 2021, the Company recognized amortization expense of $5.6 million, $6.1 million, and $6.8 million, respectively, which $3.1 million, $3.6 million, and $4.1 million, respectively, qualified for the proportional amortization method and was included in income tax expense on the Consolidated Statements of Income.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December 31, 2022, and December 31, 2021, $2.5 million, $2.5 million, and $2.7 million, respectively, was included in other non-interest expense on the Consolidated Statements of Income related to historic tax credit investments that do not qualify for the proportional amortization method.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of the Company’s revenue from contracts with customers in the scope of ASC 606 is recognized within non-interest income. ASC 606 is applicable to non-interest revenue streams, such as trust and wealth management income, deposit related fees, interchange fees, merchant income, and annuity and insurance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 (continued)</w:t>
      </w:r>
    </w:p>
    <w:p>
      <w:pPr>
        <w:spacing w:after="0" w:line="200" w:lineRule="exact"/>
        <w:rPr>
          <w:sz w:val="20"/>
          <w:szCs w:val="20"/>
          <w:color w:val="auto"/>
        </w:rPr>
      </w:pPr>
    </w:p>
    <w:p>
      <w:pPr>
        <w:spacing w:after="0" w:line="35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years ended December 31, 2023, December 31, 2022, and December 31, 2021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Service charges and fees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Debit card fees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 related fees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fees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Fiduciary and wealth management</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 fees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Advisory fees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fees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gains (losses) on securities</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life insurance</w:t>
            </w:r>
            <w:r>
              <w:rPr>
                <w:rFonts w:ascii="Times New Roman" w:cs="Times New Roman" w:eastAsia="Times New Roman" w:hAnsi="Times New Roman"/>
                <w:sz w:val="23"/>
                <w:szCs w:val="23"/>
                <w:color w:val="auto"/>
                <w:vertAlign w:val="superscript"/>
              </w:rPr>
              <w:t>(2)</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non-interest income</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FHLB dividend</w:t>
            </w:r>
            <w:r>
              <w:rPr>
                <w:rFonts w:ascii="Times New Roman" w:cs="Times New Roman" w:eastAsia="Times New Roman" w:hAnsi="Times New Roman"/>
                <w:sz w:val="23"/>
                <w:szCs w:val="23"/>
                <w:color w:val="auto"/>
                <w:vertAlign w:val="superscript"/>
              </w:rPr>
              <w:t>(2)</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Merchant &amp; credit card fees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Safety deposit fees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Servicing release premium</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Wire fees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loan swap fees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non-interest</w:t>
            </w:r>
            <w:r>
              <w:rPr>
                <w:rFonts w:ascii="Times New Roman" w:cs="Times New Roman" w:eastAsia="Times New Roman" w:hAnsi="Times New Roman"/>
                <w:sz w:val="23"/>
                <w:szCs w:val="23"/>
                <w:color w:val="auto"/>
                <w:vertAlign w:val="superscript"/>
              </w:rPr>
              <w:t>(3)</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Income within the scope of ASC 606 - </w:t>
      </w:r>
      <w:r>
        <w:rPr>
          <w:rFonts w:ascii="Times New Roman" w:cs="Times New Roman" w:eastAsia="Times New Roman" w:hAnsi="Times New Roman"/>
          <w:sz w:val="14"/>
          <w:szCs w:val="14"/>
          <w:i w:val="1"/>
          <w:iCs w:val="1"/>
          <w:color w:val="auto"/>
        </w:rPr>
        <w:t>Revenue Recognition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Income excluded from the scope of ASC 606 - </w:t>
      </w:r>
      <w:r>
        <w:rPr>
          <w:rFonts w:ascii="Times New Roman" w:cs="Times New Roman" w:eastAsia="Times New Roman" w:hAnsi="Times New Roman"/>
          <w:sz w:val="14"/>
          <w:szCs w:val="14"/>
          <w:i w:val="1"/>
          <w:iCs w:val="1"/>
          <w:color w:val="auto"/>
        </w:rPr>
        <w:t>Revenue Recognition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that arises from the Company electing the FVO as stated that is not within the scope of ASC 606.</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description of the Company’s revenue streams accounted for under ASC 606 follows: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from fiduciary &amp; wealth management activities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Fiduciary and wealth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at a point in time (i.e., as incurred), and that allows the Company to recognize the related revenue associated with that transaction. Payment is received shortly after services are rendered.</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non-interest income consists of other recurring revenue streams, such as commissions from sales of mutual funds and other investments, investment advisor fees from the Company’s wealth management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 (continued)</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safety deposit box rental fees, and other miscellaneous revenue streams. Commissions from the sale of mutual funds and other investments are payable on the trade date and are received in the following month,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wealth management product are earned over time and based on an annual percentage rate of the net asset value. The investment advisor fees are charged to the customer’s account in advance on the first month of the quarter, and the revenue is recognized over the following three-month period.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 charges and fees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Service charges and fees on deposit accounts consist of monthly service fees, check orders, and other deposit account related fees. Check orders and other deposit account related fees are largely transactional based, and therefore, the Company’s performance obligation is satisfied at a point in time, and the related revenue recognized. Payment for service charges on deposit accounts is primarily received immediately or in the following month through a direct charge to customers’ accounts.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Debit card fees and other service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Merchant services income mainly consists of fees charged to merchants to process their debit and credit card transactions, in addition to account management fees. Other service charges include revenue from processing wire transfers, bill pay service, cashier’s checks, and other services. The Company’s performance obligation is largely satisfied, and the related revenue is recognized, when the services are rendered or upon completion. Payment is typically received immediately or in the following month.</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Share-Based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expense that has been charged against income for the share-based awards granted was $2.4 million, $2.0 million, and $283 thousand for 2023, 2022, and 2021, respectively. The total income tax benefit was $506 thousand, $421 thousand, and $59 thousand for 2023, 2022, and 2021,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of Directors. The 2019 SIP provides for the issuance of share-based awards to directors and employees of the Company. The 2019 SIP authorized 240,000 units to be issued and the Company has a practice of using shares held as treasury stock to satisfy these awards. Each unit represents a contingent right to receive one common share or an equivalent amount of cash, or a combination of the two, at the discretion of the Company. Currently, we have a sufficient number of treasury shares to satisfy outstanding equity awards.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 A total of 25,705, 13,160, and 106,040 shares were issued in 2023, 2022, and 2021, respectively.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Share-Based Compensation (continued)</w:t>
      </w:r>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units are earned at the end of the performance period will be determined based on the achievement of a market capitalization target over the performance period. If the condition is not achieved, the grant recipient will receive 50% of the units upon fulfilling the required service time. If the performance condition is achieved, the grant recipient will receive 100% of the units granted. The market capitalization target will be determined by the Board.</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 (3) 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Stock Incentive Plan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Board of directors and shareholders. Upon the plan’s shareholder approval date of March 30, 2023, no further share-based awards will be issued under the 2019 SIP. The plan provides for the issuance of share-based awards to directors and employees of the Company. The 2023 SIP authorized the issuance of 250,000 shares, subject to an annual increase in available shares. As of December 31, 2023, one share-based award of 1,000 shares has been issued under the 2023 SIP.</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$2.9 million of total unrecognized compensation costs related to non-vested shares granted under the 2019 SIP and 2023 SIP. The cost is expected to be recognized over a weighted average period of 1.44 years. There were 89,135 shares remaining to be issued from the 2019 SIP which were rolled into the 2023 SIP as of the approval date of the 2023 SIP at March 30, 2023.</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2023, a new employee stock purchase plan (“2023 ESPP”) was approved by the Board of directors and shareholders. Upon the plan’s shareholder approval date of March 30, 2023, the 2023 ESPP reserved 250,000 shares of common stock for issuance to employees. Whole shares are sold to participants in the plan at 85% of the lower of the stock price at the beginning or end of each semi-annual offering period that began on September 1, 2023. Eligible employees may purchase shares in an amount that does not exceed the lesser of the IRS limit of $25,000 or 15% of their annual salary. At December 31, 2023, no shares have been purchased. The Company recognized $64 thousand of expense captured in salaries and wages line item on the Consolidated Statements of Income for the year ended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Earnings Per Share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Earnings Per Share (continued)</w:t>
      </w:r>
    </w:p>
    <w:p>
      <w:pPr>
        <w:spacing w:after="0" w:line="200" w:lineRule="exact"/>
        <w:rPr>
          <w:sz w:val="20"/>
          <w:szCs w:val="20"/>
          <w:color w:val="auto"/>
        </w:rPr>
      </w:pPr>
    </w:p>
    <w:p>
      <w:pPr>
        <w:spacing w:after="0" w:line="3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36,165</w:t>
            </w:r>
          </w:p>
        </w:tc>
      </w:tr>
      <w:tr>
        <w:trPr>
          <w:trHeight w:val="257"/>
        </w:trPr>
        <w:tc>
          <w:tcPr>
            <w:tcW w:w="6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7,424,405</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7,506,855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7,467,717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7,430,064</w:t>
            </w:r>
          </w:p>
        </w:tc>
      </w:tr>
      <w:tr>
        <w:trPr>
          <w:trHeight w:val="237"/>
        </w:trPr>
        <w:tc>
          <w:tcPr>
            <w:tcW w:w="6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bl>
    <w:p>
      <w:pPr>
        <w:spacing w:after="0" w:line="2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Stock awards equivalent to 503, zero, and 462 shares of Common Stock were not considered in computing diluted earnings per common share for 2023, 2022, and 2021, respectively, because they were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Subsequent Events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of this Form 10-K, and determined that there have been no material events that have occurred that would require adjustments to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under the supervision and with the participation of the Company’s management, including the Company’s Chief Executive Officer and Chief Financial Officer, completed an evaluation of the effectiveness of the design and operation of the Company’s disclosure controls and procedures, as defined in Rule 13a-15(e) under the Exchange Act. In designing and evaluating its disclosure controls and procedures, management recognized that disclosure controls and procedures, no matter how well conceived and operated, can provide only reasonable, not absolute, assurance that objectives of the disclosure controls and procedures are met. The design of any disclosure controls and procedures is also based in part upon certain assumptions about the likelihood of future events, and there can be no assurance that any design will succeed in achieving its stated goals under all potential conditions. Based upon their evaluation, the Chief Executive Officer and Chief Financial Officer concluded that the Company’s disclosure controls and procedures as of December 31, 2023, were effective in providing reasonable assurance that information required to be disclosed in the Company’s reports that it files or submits under the Exchange Act is recorded, processed, summarized, and reported, within the time periods specified by the SEC’s rules and forms, and that such information is accumulated and communicated to management of the Company, including the Chief Executive Officer and Chief Financial Officer, as appropriate to allow timely decisions regarding required disclosure.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Attestation Report of Independent Auditor</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JOBS Act enacted on April 5, 2012, the Company qualifies as an “emerging growth company,” which entitles the Company to take advantage of certain exemptions from various reporting requirements that are applicable to other public companies that are not EGCs. Specifically, the JOBS Act defers the requirement to have the Company’s independent auditor assess the Company’s internal control over financial reporting under Section 404(b) of the Sarbanes-Oxley Act. As such, the Company is exempted from the requirement to include an auditor attestation report in this Annual Report for so long as the Company remains an EGC, which may be for as long as five years following its initial registration in the United States.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(as defined by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captions “The Board of Directors,” “Executive Officers,” and “Section 16(a) Beneficial Ownership Reporting Compliance” in the Company’s Proxy Statement for the 2024 Annual Meeting of Stockholders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captions “Executive Compensation,” “Director Compensation,” and “Compensation Committee Interlocks and Insider Participation” in the Company’s Proxy Statement for the 2024 Annual Meeting of Stockholders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760"/>
        <w:spacing w:after="0" w:line="440"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 Security Ownership of Certain Beneficial Owners and Management</w:t>
      </w:r>
    </w:p>
    <w:p>
      <w:pPr>
        <w:spacing w:after="0" w:line="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 “Security Ownership of Certain Beneficial Owners and Management” in the Company’s Proxy Statement for the 2024 Annual Meeting of Stockholders is incorporated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securities authorized for issuance under the 2019 SIP, the 2023 SIP, and the 2023 ESPP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Figures below are presented on an as-converted basis.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120" w:type="dxa"/>
            <w:vAlign w:val="bottom"/>
          </w:tcPr>
          <w:p>
            <w:pPr>
              <w:spacing w:after="0"/>
              <w:rPr>
                <w:sz w:val="16"/>
                <w:szCs w:val="16"/>
                <w:color w:val="auto"/>
              </w:rPr>
            </w:pPr>
          </w:p>
        </w:tc>
        <w:tc>
          <w:tcPr>
            <w:tcW w:w="16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 issued upon exercise</w:t>
            </w:r>
          </w:p>
        </w:tc>
        <w:tc>
          <w:tcPr>
            <w:tcW w:w="120" w:type="dxa"/>
            <w:vAlign w:val="bottom"/>
          </w:tcPr>
          <w:p>
            <w:pPr>
              <w:spacing w:after="0"/>
              <w:rPr>
                <w:sz w:val="14"/>
                <w:szCs w:val="14"/>
                <w:color w:val="auto"/>
              </w:rPr>
            </w:pPr>
          </w:p>
        </w:tc>
        <w:tc>
          <w:tcPr>
            <w:tcW w:w="168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162"/>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78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of outstanding options,</w:t>
            </w:r>
          </w:p>
        </w:tc>
        <w:tc>
          <w:tcPr>
            <w:tcW w:w="120" w:type="dxa"/>
            <w:vAlign w:val="bottom"/>
          </w:tcPr>
          <w:p>
            <w:pPr>
              <w:spacing w:after="0"/>
              <w:rPr>
                <w:sz w:val="14"/>
                <w:szCs w:val="14"/>
                <w:color w:val="auto"/>
              </w:rPr>
            </w:pPr>
          </w:p>
        </w:tc>
        <w:tc>
          <w:tcPr>
            <w:tcW w:w="168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214"/>
        </w:trPr>
        <w:tc>
          <w:tcPr>
            <w:tcW w:w="5520" w:type="dxa"/>
            <w:vAlign w:val="bottom"/>
            <w:gridSpan w:val="2"/>
            <w:vMerge w:val="continue"/>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 and rights</w:t>
            </w:r>
          </w:p>
        </w:tc>
        <w:tc>
          <w:tcPr>
            <w:tcW w:w="1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w:t>
            </w:r>
          </w:p>
        </w:tc>
        <w:tc>
          <w:tcPr>
            <w:tcW w:w="0" w:type="dxa"/>
            <w:vAlign w:val="bottom"/>
          </w:tcPr>
          <w:p>
            <w:pPr>
              <w:spacing w:after="0"/>
              <w:rPr>
                <w:sz w:val="1"/>
                <w:szCs w:val="1"/>
                <w:color w:val="auto"/>
              </w:rPr>
            </w:pPr>
          </w:p>
        </w:tc>
      </w:tr>
      <w:tr>
        <w:trPr>
          <w:trHeight w:val="211"/>
        </w:trPr>
        <w:tc>
          <w:tcPr>
            <w:tcW w:w="542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Equity compensation plans approved by shareholders </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243"/>
              <w:spacing w:after="0" w:line="211" w:lineRule="exact"/>
              <w:rPr>
                <w:sz w:val="20"/>
                <w:szCs w:val="20"/>
                <w:color w:val="auto"/>
              </w:rPr>
            </w:pPr>
            <w:r>
              <w:rPr>
                <w:rFonts w:ascii="Times New Roman" w:cs="Times New Roman" w:eastAsia="Times New Roman" w:hAnsi="Times New Roman"/>
                <w:sz w:val="16"/>
                <w:szCs w:val="16"/>
                <w:color w:val="auto"/>
              </w:rPr>
              <w:t xml:space="preserve">499,000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shareholders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142,585</w:t>
            </w:r>
          </w:p>
        </w:tc>
        <w:tc>
          <w:tcPr>
            <w:tcW w:w="4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243"/>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(5)</w:t>
            </w:r>
          </w:p>
        </w:tc>
        <w:tc>
          <w:tcPr>
            <w:tcW w:w="0" w:type="dxa"/>
            <w:vAlign w:val="bottom"/>
          </w:tcPr>
          <w:p>
            <w:pPr>
              <w:spacing w:after="0"/>
              <w:rPr>
                <w:sz w:val="1"/>
                <w:szCs w:val="1"/>
                <w:color w:val="auto"/>
              </w:rPr>
            </w:pPr>
          </w:p>
        </w:tc>
      </w:tr>
      <w:tr>
        <w:trPr>
          <w:trHeight w:val="20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143,585</w:t>
            </w: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6"/>
                <w:szCs w:val="16"/>
                <w:color w:val="auto"/>
              </w:rPr>
              <w:t>499,000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RSUs awarded under the 2023 SIP following its approval by shareholders at the Company’s 2023 annual meeting of shareholders on March 30, 2023.</w:t>
      </w:r>
    </w:p>
    <w:p>
      <w:pPr>
        <w:spacing w:after="0" w:line="24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weighted average exercise price to disclose because RSU awards do not have an exercise price.</w:t>
      </w:r>
    </w:p>
    <w:p>
      <w:pPr>
        <w:spacing w:after="0" w:line="257" w:lineRule="exact"/>
        <w:rPr>
          <w:rFonts w:ascii="Times New Roman" w:cs="Times New Roman" w:eastAsia="Times New Roman" w:hAnsi="Times New Roman"/>
          <w:sz w:val="14"/>
          <w:szCs w:val="14"/>
          <w:color w:val="auto"/>
        </w:rPr>
      </w:pPr>
    </w:p>
    <w:p>
      <w:pPr>
        <w:jc w:val="both"/>
        <w:ind w:left="340" w:hanging="332"/>
        <w:spacing w:after="0" w:line="265"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249,000 shares of common stock remaining available for future equity awards under the 2023 SIP at December 31, 2023, as well as 250,000 shares of common stock remaining available for issuance and delivery under the 2023 ESPP. The 2023 SIP and the 2023 ESPP both authorize up to 250,000 shares of Common Stock for issuance, increasing on an annual basis by an amount equal to the lesser of 1% of the Company’s common shares issued and outstanding on the last day of the immediately preceding fiscal years and such smaller number of Common Stock as may be determined by the Board. The 2023 SIP also includes share recycling to the extent that an award granted under the 2023 SIP or 2019 SIP terminates, expires, is canceled, or is forfeited for any reason, the shares associated with that award will become available for grant under the 2023 Plan. As of December 31, 2023, no shares have been recycled from the 2019 SIP. As of December 31, 2023, there was an open purchase period under the 2023 ESPP, which concluded on February 29, 2024. Participants purchased 6,380 aggregate shares during this purchase period.</w:t>
      </w:r>
    </w:p>
    <w:p>
      <w:pPr>
        <w:spacing w:after="0" w:line="391" w:lineRule="exact"/>
        <w:rPr>
          <w:rFonts w:ascii="Times New Roman" w:cs="Times New Roman" w:eastAsia="Times New Roman" w:hAnsi="Times New Roman"/>
          <w:sz w:val="14"/>
          <w:szCs w:val="14"/>
          <w:color w:val="auto"/>
        </w:rPr>
      </w:pPr>
    </w:p>
    <w:p>
      <w:pPr>
        <w:jc w:val="both"/>
        <w:ind w:left="340" w:hanging="332"/>
        <w:spacing w:after="0" w:line="266"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RSUs awarded under the 2019 SIP prior to the adoption of the 2023 SIP. The 2019 SIP was originally adopted by the board of directors of Burke &amp; Herbert Bank &amp; Trust Company and was then subsequently adopted by the Board of the Company, as amended, on October 27, 2022, upon its commencement of operations as a bank holding company. The 2019 SIP is an omnibus equity incentive plan which allows for the grant of Common Stock, stock options, SARs, restricted stock, RSUs, dividend equivalent rights, and cash-based awards to employees, directors, and consultants of the Company and its affiliates. The only outstanding equity awards granted under the 2019 SIP are RSUs, which vest upon the completion of a service period, specific performance goal, and/or a combination thereof.</w:t>
      </w:r>
    </w:p>
    <w:p>
      <w:pPr>
        <w:spacing w:after="0" w:line="214"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had no equity compensation plans not approved by the shareholders under which equity awards may have been granted at December 31, 2023, because no future awards could be granted under the 2019 SIP as of the date of the 2023 SIP’s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captions “The Board of Directors - Director Independence” and “Company Transactions With Related Parties” in the Company’s Proxy Statement for the 2024 Annual Meeting of Stockholders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captions “Audit Committee Report” in the Company’s Proxy Statement for the 2024 Annual Meeting of Stockholders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75" w:lineRule="exact"/>
        <w:rPr>
          <w:sz w:val="20"/>
          <w:szCs w:val="20"/>
          <w:color w:val="auto"/>
        </w:rPr>
      </w:pPr>
    </w:p>
    <w:p>
      <w:pPr>
        <w:ind w:left="660" w:hanging="652"/>
        <w:spacing w:after="0" w:line="282" w:lineRule="auto"/>
        <w:tabs>
          <w:tab w:leader="none" w:pos="6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The following financial statements are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in Notes to Consolidated Financial Statements of this Form 10-K:</w:t>
      </w:r>
    </w:p>
    <w:p>
      <w:pPr>
        <w:spacing w:after="0" w:line="1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December 31, 2023, and 2022</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for the Years Ended December 31, 2023, 2022, and 2021</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(Loss) for the Years Ended December 31, 2023, 2022, and 2021</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Shareholders’ Equity for the Years Ended December 31, 2023, 2022, and 2021</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December 31, 2023, 2022, and 2021</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61"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included as part of this Form 10-K: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gridSpan w:val="11"/>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3"/>
        </w:trPr>
        <w:tc>
          <w:tcPr>
            <w:tcW w:w="10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19"/>
          </w:tcPr>
          <w:p>
            <w:pPr>
              <w:spacing w:after="0" w:line="18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Agreement and Plan of Reorganization between Burke &amp; Herbert Financial Services Corp. and Summit Financial Group, Inc., dated as of</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 xml:space="preserve">August 24, 2023 </w:t>
              </w:r>
              <w:r>
                <w:rPr>
                  <w:rFonts w:ascii="Times New Roman" w:cs="Times New Roman" w:eastAsia="Times New Roman" w:hAnsi="Times New Roman"/>
                  <w:sz w:val="18"/>
                  <w:szCs w:val="18"/>
                  <w:color w:val="000000"/>
                </w:rPr>
                <w:t>(incorporated by reference to Exhibit 2.1 to the Registrant’s Current Report on Form 8-K filed August, 25, 2023)</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4"/>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Articles of Incorporation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to the Form 10</w:t>
            </w:r>
          </w:p>
        </w:tc>
      </w:tr>
      <w:tr>
        <w:trPr>
          <w:trHeight w:val="210"/>
        </w:trPr>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0000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filed February 28, 2023)</w:t>
            </w:r>
          </w:p>
        </w:tc>
        <w:tc>
          <w:tcPr>
            <w:tcW w:w="1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189"/>
        </w:trPr>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19"/>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Articles of Amendment to the Articles of Incorporation of Burke &amp; Herbert Financial Services Corp</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to Exhibit</w:t>
            </w:r>
          </w:p>
        </w:tc>
      </w:tr>
      <w:tr>
        <w:trPr>
          <w:trHeight w:val="209"/>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auto"/>
              </w:rPr>
              <w:t>3.2 to the Form 10/A Registration Statement, filed April 3, 2023)</w:t>
            </w:r>
          </w:p>
        </w:tc>
        <w:tc>
          <w:tcPr>
            <w:tcW w:w="1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 xml:space="preserve">Bylaws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3.2 to the Form 10 Registration Statement, filed</w:t>
            </w:r>
          </w:p>
        </w:tc>
      </w:tr>
      <w:tr>
        <w:trPr>
          <w:trHeight w:val="210"/>
        </w:trPr>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28, 2023)</w:t>
            </w:r>
          </w:p>
        </w:tc>
        <w:tc>
          <w:tcPr>
            <w:tcW w:w="3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189"/>
        </w:trPr>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19"/>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 xml:space="preserve">Specimen certificate for the Common Stock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4.1 to the</w:t>
            </w:r>
          </w:p>
        </w:tc>
      </w:tr>
      <w:tr>
        <w:trPr>
          <w:trHeight w:val="210"/>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Form 10/A Registration Statement, filed April 3, 2023)</w:t>
            </w:r>
          </w:p>
        </w:tc>
        <w:tc>
          <w:tcPr>
            <w:tcW w:w="62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6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Description of the Securities</w:t>
            </w: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6"/>
                <w:szCs w:val="16"/>
                <w:color w:val="auto"/>
              </w:rPr>
            </w:pPr>
          </w:p>
        </w:tc>
        <w:tc>
          <w:tcPr>
            <w:tcW w:w="10060" w:type="dxa"/>
            <w:vAlign w:val="bottom"/>
            <w:gridSpan w:val="19"/>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 xml:space="preserve">2019 Stock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the Form 10 Registration Statement, filed February 28, 2023)</w:t>
            </w:r>
          </w:p>
        </w:tc>
      </w:tr>
      <w:tr>
        <w:trPr>
          <w:trHeight w:val="21"/>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6"/>
                <w:szCs w:val="16"/>
                <w:color w:val="auto"/>
              </w:rPr>
            </w:pPr>
          </w:p>
        </w:tc>
        <w:tc>
          <w:tcPr>
            <w:tcW w:w="1006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 xml:space="preserve">2019 Stock Incentive Plan as Amended October 27, 2022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10.2 to the Form 10 Registration</w:t>
            </w:r>
          </w:p>
        </w:tc>
      </w:tr>
      <w:tr>
        <w:trPr>
          <w:trHeight w:val="210"/>
        </w:trPr>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filed February 28, 2023)</w:t>
            </w:r>
          </w:p>
        </w:tc>
        <w:tc>
          <w:tcPr>
            <w:tcW w:w="2920" w:type="dxa"/>
            <w:vAlign w:val="bottom"/>
            <w:tcBorders>
              <w:top w:val="single" w:sz="8" w:color="CCEEFF"/>
            </w:tcBorders>
            <w:gridSpan w:val="3"/>
            <w:shd w:val="clear" w:color="auto" w:fill="CCEEFF"/>
          </w:tcPr>
          <w:p>
            <w:pPr>
              <w:spacing w:after="0"/>
              <w:rPr>
                <w:sz w:val="18"/>
                <w:szCs w:val="18"/>
                <w:color w:val="auto"/>
              </w:rPr>
            </w:pPr>
          </w:p>
        </w:tc>
        <w:tc>
          <w:tcPr>
            <w:tcW w:w="20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189"/>
        </w:trPr>
        <w:tc>
          <w:tcPr>
            <w:tcW w:w="11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6"/>
                <w:szCs w:val="16"/>
                <w:color w:val="auto"/>
              </w:rPr>
            </w:pPr>
          </w:p>
        </w:tc>
        <w:tc>
          <w:tcPr>
            <w:tcW w:w="10060" w:type="dxa"/>
            <w:vAlign w:val="bottom"/>
            <w:gridSpan w:val="19"/>
          </w:tcPr>
          <w:p>
            <w:pPr>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 xml:space="preserve">2021 Amended &amp; Restated Nonqualified Deferred Compensation Plan for Employers &amp; Directors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w:t>
            </w:r>
          </w:p>
        </w:tc>
      </w:tr>
      <w:tr>
        <w:trPr>
          <w:trHeight w:val="210"/>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10.3 to the Form 10 Registration Statement, filed February 28, 2023)</w:t>
            </w:r>
          </w:p>
        </w:tc>
        <w:tc>
          <w:tcPr>
            <w:tcW w:w="20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6"/>
                <w:szCs w:val="16"/>
                <w:color w:val="auto"/>
              </w:rPr>
            </w:pPr>
          </w:p>
        </w:tc>
        <w:tc>
          <w:tcPr>
            <w:tcW w:w="1006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&amp; Restated Employment Agreement, dated as of September 1, 2022, by and among Burke &amp; Herbert Bank &amp; Trust, and David</w:t>
              </w:r>
            </w:hyperlink>
          </w:p>
        </w:tc>
      </w:tr>
      <w:tr>
        <w:trPr>
          <w:trHeight w:val="155"/>
        </w:trPr>
        <w:tc>
          <w:tcPr>
            <w:tcW w:w="10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 xml:space="preserve">P. Boyle </w:t>
              </w:r>
              <w:r>
                <w:rPr>
                  <w:rFonts w:ascii="Times New Roman" w:cs="Times New Roman" w:eastAsia="Times New Roman" w:hAnsi="Times New Roman"/>
                  <w:sz w:val="18"/>
                  <w:szCs w:val="18"/>
                  <w:color w:val="000000"/>
                </w:rPr>
                <w:t>(incorporated by reference to Exhibit 10.4 to the Form 10 Registration Statement, filed February 28, 2023)</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6"/>
                <w:szCs w:val="16"/>
                <w:color w:val="auto"/>
              </w:rPr>
            </w:pPr>
          </w:p>
        </w:tc>
        <w:tc>
          <w:tcPr>
            <w:tcW w:w="10060" w:type="dxa"/>
            <w:vAlign w:val="bottom"/>
            <w:gridSpan w:val="19"/>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First Amendment to Employment Agreement, dated as of October 27, 2022, by and among Burke &amp; Herbert Bank &amp; Trust, and David P.</w:t>
              </w:r>
            </w:hyperlink>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 xml:space="preserve">Boyle </w:t>
              </w:r>
              <w:r>
                <w:rPr>
                  <w:rFonts w:ascii="Times New Roman" w:cs="Times New Roman" w:eastAsia="Times New Roman" w:hAnsi="Times New Roman"/>
                  <w:sz w:val="18"/>
                  <w:szCs w:val="18"/>
                  <w:color w:val="000000"/>
                </w:rPr>
                <w:t>(incorporated by reference to Exhibit 10.5 to the Form 10 Registration Statement, filed February 28, 2023)</w:t>
              </w:r>
            </w:hyperlink>
          </w:p>
        </w:tc>
        <w:tc>
          <w:tcPr>
            <w:tcW w:w="1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r>
      <w:tr>
        <w:trPr>
          <w:trHeight w:val="34"/>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1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6"/>
                <w:szCs w:val="16"/>
                <w:color w:val="auto"/>
              </w:rPr>
            </w:pPr>
          </w:p>
        </w:tc>
        <w:tc>
          <w:tcPr>
            <w:tcW w:w="1006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&amp; Restated Employment Agreement, dated as of September 1, 2022, by and among Burke &amp; Herbert Bank &amp; Trust, and Roy E.</w:t>
              </w:r>
            </w:hyperlink>
          </w:p>
        </w:tc>
      </w:tr>
      <w:tr>
        <w:trPr>
          <w:trHeight w:val="156"/>
        </w:trPr>
        <w:tc>
          <w:tcPr>
            <w:tcW w:w="10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 xml:space="preserve">Halyama </w:t>
              </w:r>
              <w:r>
                <w:rPr>
                  <w:rFonts w:ascii="Times New Roman" w:cs="Times New Roman" w:eastAsia="Times New Roman" w:hAnsi="Times New Roman"/>
                  <w:sz w:val="18"/>
                  <w:szCs w:val="18"/>
                  <w:color w:val="000000"/>
                </w:rPr>
                <w:t>(incorporated by reference to Exhibit 10.6 to the Form 10 Registration Statement, filed February 28, 2023)</w:t>
              </w:r>
            </w:hyperlink>
          </w:p>
        </w:tc>
        <w:tc>
          <w:tcPr>
            <w:tcW w:w="120" w:type="dxa"/>
            <w:vAlign w:val="bottom"/>
            <w:tcBorders>
              <w:top w:val="single" w:sz="8" w:color="CCEEFF"/>
            </w:tcBorders>
            <w:shd w:val="clear" w:color="auto" w:fill="CCEEFF"/>
          </w:tcPr>
          <w:p>
            <w:pPr>
              <w:spacing w:after="0"/>
              <w:rPr>
                <w:sz w:val="13"/>
                <w:szCs w:val="13"/>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6"/>
                <w:szCs w:val="16"/>
                <w:color w:val="auto"/>
              </w:rPr>
            </w:pPr>
          </w:p>
        </w:tc>
        <w:tc>
          <w:tcPr>
            <w:tcW w:w="10060" w:type="dxa"/>
            <w:vAlign w:val="bottom"/>
            <w:gridSpan w:val="19"/>
          </w:tcPr>
          <w:p>
            <w:pPr>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First Amendment to Employment Agreement, dated as of October 27, 2022, by and among Burke &amp; Herbert Bank &amp; Trust, and Roy E.</w:t>
              </w:r>
            </w:hyperlink>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 xml:space="preserve">Halyama </w:t>
              </w:r>
              <w:r>
                <w:rPr>
                  <w:rFonts w:ascii="Times New Roman" w:cs="Times New Roman" w:eastAsia="Times New Roman" w:hAnsi="Times New Roman"/>
                  <w:sz w:val="18"/>
                  <w:szCs w:val="18"/>
                  <w:color w:val="000000"/>
                </w:rPr>
                <w:t>(incorporated by reference to Exhibit 10.7 to the Form 10 Registration Statement, filed February 28, 2023)</w:t>
              </w:r>
            </w:hyperlink>
          </w:p>
        </w:tc>
        <w:tc>
          <w:tcPr>
            <w:tcW w:w="320" w:type="dxa"/>
            <w:vAlign w:val="bottom"/>
            <w:gridSpan w:val="5"/>
          </w:tcPr>
          <w:p>
            <w:pPr>
              <w:spacing w:after="0"/>
              <w:rPr>
                <w:sz w:val="13"/>
                <w:szCs w:val="13"/>
                <w:color w:val="auto"/>
              </w:rPr>
            </w:pPr>
          </w:p>
        </w:tc>
      </w:tr>
      <w:tr>
        <w:trPr>
          <w:trHeight w:val="34"/>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11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6"/>
                <w:szCs w:val="16"/>
                <w:color w:val="auto"/>
              </w:rPr>
            </w:pPr>
          </w:p>
        </w:tc>
        <w:tc>
          <w:tcPr>
            <w:tcW w:w="10060" w:type="dxa"/>
            <w:vAlign w:val="bottom"/>
            <w:gridSpan w:val="19"/>
            <w:shd w:val="clear" w:color="auto" w:fill="CCEEFF"/>
          </w:tcPr>
          <w:p>
            <w:pPr>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Change in Control Agreement, dated as of June 16, 2014, by and among Burke &amp; Herbert Bank &amp; Trust and Jeffrey A. Welch</w:t>
              </w:r>
            </w:hyperlink>
          </w:p>
        </w:tc>
      </w:tr>
      <w:tr>
        <w:trPr>
          <w:trHeight w:val="210"/>
        </w:trPr>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60" w:type="dxa"/>
            <w:vAlign w:val="bottom"/>
            <w:tcBorders>
              <w:top w:val="single" w:sz="8" w:color="0000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to Exhibit 10.8 to the Form 10 Registration Statement, filed February 28, 2023)</w:t>
            </w:r>
          </w:p>
        </w:tc>
        <w:tc>
          <w:tcPr>
            <w:tcW w:w="1000" w:type="dxa"/>
            <w:vAlign w:val="bottom"/>
            <w:tcBorders>
              <w:top w:val="single" w:sz="8" w:color="CCEEFF"/>
            </w:tcBorders>
            <w:gridSpan w:val="6"/>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60" w:type="dxa"/>
            <w:vAlign w:val="bottom"/>
            <w:gridSpan w:val="1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Burke &amp; Herbert Bank &amp; Trust Supplemental Executive Retirement Plan, effective January 23, 2014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w:t>
            </w:r>
          </w:p>
        </w:tc>
      </w:tr>
      <w:tr>
        <w:trPr>
          <w:trHeight w:val="210"/>
        </w:trPr>
        <w:tc>
          <w:tcPr>
            <w:tcW w:w="1180" w:type="dxa"/>
            <w:vAlign w:val="bottom"/>
          </w:tcPr>
          <w:p>
            <w:pPr>
              <w:spacing w:after="0"/>
              <w:rPr>
                <w:sz w:val="18"/>
                <w:szCs w:val="18"/>
                <w:color w:val="auto"/>
              </w:rPr>
            </w:pPr>
          </w:p>
        </w:tc>
        <w:tc>
          <w:tcPr>
            <w:tcW w:w="72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10.9 to the Form 10 Registration Statement, filed February 28, 2023)</w:t>
            </w:r>
          </w:p>
        </w:tc>
        <w:tc>
          <w:tcPr>
            <w:tcW w:w="2800" w:type="dxa"/>
            <w:vAlign w:val="bottom"/>
          </w:tcPr>
          <w:p>
            <w:pPr>
              <w:spacing w:after="0"/>
              <w:rPr>
                <w:sz w:val="18"/>
                <w:szCs w:val="18"/>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06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Burke &amp; Herbert Financial Services Corp. 2023 Employee Stock Purchase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99.1 to the Form S-8,</w:t>
            </w:r>
          </w:p>
        </w:tc>
      </w:tr>
      <w:tr>
        <w:trPr>
          <w:trHeight w:val="209"/>
        </w:trPr>
        <w:tc>
          <w:tcPr>
            <w:tcW w:w="118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on May 26, 2023)</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gridSpan w:val="2"/>
            <w:shd w:val="clear" w:color="auto" w:fill="CCEEFF"/>
          </w:tcPr>
          <w:p>
            <w:pPr>
              <w:spacing w:after="0"/>
              <w:rPr>
                <w:sz w:val="18"/>
                <w:szCs w:val="18"/>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060" w:type="dxa"/>
            <w:vAlign w:val="bottom"/>
            <w:gridSpan w:val="12"/>
          </w:tcPr>
          <w:p>
            <w:pPr>
              <w:spacing w:after="0" w:line="18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Burke &amp; Herbert Financial Services Corp. 2023 Stock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99.2 to the Form S-8, filed on</w:t>
            </w:r>
          </w:p>
        </w:tc>
      </w:tr>
      <w:tr>
        <w:trPr>
          <w:trHeight w:val="210"/>
        </w:trPr>
        <w:tc>
          <w:tcPr>
            <w:tcW w:w="1180" w:type="dxa"/>
            <w:vAlign w:val="bottom"/>
          </w:tcPr>
          <w:p>
            <w:pPr>
              <w:spacing w:after="0"/>
              <w:rPr>
                <w:sz w:val="18"/>
                <w:szCs w:val="18"/>
                <w:color w:val="auto"/>
              </w:rPr>
            </w:pPr>
          </w:p>
        </w:tc>
        <w:tc>
          <w:tcPr>
            <w:tcW w:w="4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May 26, 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gridSpan w:val="2"/>
          </w:tcPr>
          <w:p>
            <w:pPr>
              <w:spacing w:after="0"/>
              <w:rPr>
                <w:sz w:val="18"/>
                <w:szCs w:val="18"/>
                <w:color w:val="auto"/>
              </w:rPr>
            </w:pPr>
          </w:p>
        </w:tc>
      </w:tr>
      <w:tr>
        <w:trPr>
          <w:trHeight w:val="210"/>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00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Burke &amp; Herbert Financial Services Corp.</w:t>
            </w:r>
          </w:p>
        </w:tc>
      </w:tr>
      <w:tr>
        <w:trPr>
          <w:trHeight w:val="189"/>
        </w:trPr>
        <w:tc>
          <w:tcPr>
            <w:tcW w:w="118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416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Consent of Crowe LLP</w:t>
            </w:r>
          </w:p>
        </w:tc>
        <w:tc>
          <w:tcPr>
            <w:tcW w:w="5900" w:type="dxa"/>
            <w:vAlign w:val="bottom"/>
            <w:tcBorders>
              <w:top w:val="single" w:sz="8" w:color="CCEEFF"/>
            </w:tcBorders>
            <w:gridSpan w:val="9"/>
          </w:tcPr>
          <w:p>
            <w:pPr>
              <w:spacing w:after="0"/>
              <w:rPr>
                <w:sz w:val="16"/>
                <w:szCs w:val="16"/>
                <w:color w:val="auto"/>
              </w:rPr>
            </w:pPr>
          </w:p>
        </w:tc>
      </w:tr>
      <w:tr>
        <w:trPr>
          <w:trHeight w:val="21"/>
        </w:trPr>
        <w:tc>
          <w:tcPr>
            <w:tcW w:w="1180" w:type="dxa"/>
            <w:vAlign w:val="bottom"/>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89"/>
        </w:trPr>
        <w:tc>
          <w:tcPr>
            <w:tcW w:w="1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100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Power of Attorney (included as part of the signature page to this report)</w:t>
            </w:r>
          </w:p>
        </w:tc>
      </w:tr>
      <w:tr>
        <w:trPr>
          <w:trHeight w:val="21"/>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the Principal Executive Officer of Registrant</w:t>
            </w:r>
          </w:p>
        </w:tc>
      </w:tr>
      <w:tr>
        <w:trPr>
          <w:trHeight w:val="21"/>
        </w:trPr>
        <w:tc>
          <w:tcPr>
            <w:tcW w:w="1180" w:type="dxa"/>
            <w:vAlign w:val="bottom"/>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09"/>
        </w:trPr>
        <w:tc>
          <w:tcPr>
            <w:tcW w:w="11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22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13a-14(a)/15d-14(a) Certification of the Principal Financial Officer of Registrant</w:t>
            </w:r>
          </w:p>
        </w:tc>
        <w:tc>
          <w:tcPr>
            <w:tcW w:w="3840" w:type="dxa"/>
            <w:vAlign w:val="bottom"/>
            <w:tcBorders>
              <w:bottom w:val="single" w:sz="8" w:color="CCEEFF"/>
            </w:tcBorders>
            <w:gridSpan w:val="3"/>
            <w:shd w:val="clear" w:color="auto" w:fill="CCEEFF"/>
          </w:tcPr>
          <w:p>
            <w:pPr>
              <w:spacing w:after="0"/>
              <w:rPr>
                <w:sz w:val="18"/>
                <w:szCs w:val="18"/>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 of the Principal Executive Officer of Registrant</w:t>
            </w:r>
          </w:p>
        </w:tc>
      </w:tr>
      <w:tr>
        <w:trPr>
          <w:trHeight w:val="21"/>
        </w:trPr>
        <w:tc>
          <w:tcPr>
            <w:tcW w:w="1180" w:type="dxa"/>
            <w:vAlign w:val="bottom"/>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09"/>
        </w:trPr>
        <w:tc>
          <w:tcPr>
            <w:tcW w:w="11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Section 1350 Certification of the Principal Financial Officer of Registrant</w:t>
            </w:r>
          </w:p>
        </w:tc>
        <w:tc>
          <w:tcPr>
            <w:tcW w:w="4740" w:type="dxa"/>
            <w:vAlign w:val="bottom"/>
            <w:tcBorders>
              <w:bottom w:val="single" w:sz="8" w:color="CCEEFF"/>
            </w:tcBorders>
            <w:gridSpan w:val="6"/>
            <w:shd w:val="clear" w:color="auto" w:fill="CCEEFF"/>
          </w:tcPr>
          <w:p>
            <w:pPr>
              <w:spacing w:after="0"/>
              <w:rPr>
                <w:sz w:val="18"/>
                <w:szCs w:val="18"/>
                <w:color w:val="auto"/>
              </w:rPr>
            </w:pPr>
          </w:p>
        </w:tc>
      </w:tr>
      <w:tr>
        <w:trPr>
          <w:trHeight w:val="189"/>
        </w:trPr>
        <w:tc>
          <w:tcPr>
            <w:tcW w:w="1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306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9"/>
              </w:rPr>
              <w:t>Executive Compensation Recovery Policy</w:t>
            </w:r>
          </w:p>
        </w:tc>
        <w:tc>
          <w:tcPr>
            <w:tcW w:w="7000" w:type="dxa"/>
            <w:vAlign w:val="bottom"/>
            <w:gridSpan w:val="10"/>
          </w:tcPr>
          <w:p>
            <w:pPr>
              <w:spacing w:after="0"/>
              <w:rPr>
                <w:sz w:val="16"/>
                <w:szCs w:val="16"/>
                <w:color w:val="auto"/>
              </w:rPr>
            </w:pPr>
          </w:p>
        </w:tc>
      </w:tr>
    </w:tbl>
    <w:p>
      <w:pPr>
        <w:spacing w:after="0" w:line="22" w:lineRule="exact"/>
        <w:rPr>
          <w:sz w:val="20"/>
          <w:szCs w:val="20"/>
          <w:color w:val="auto"/>
        </w:rPr>
      </w:pPr>
    </w:p>
    <w:p>
      <w:pPr>
        <w:ind w:left="1180" w:right="320" w:hanging="1154"/>
        <w:spacing w:after="0" w:line="224" w:lineRule="auto"/>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Annual Report on Form 10-K Report for the year ended December 31, 2023, formatted in Inline XBRL: (i) the Consolidated Balance Sheets, (ii) the Consolidated Income Statements, (iii) the Consolidated Statements of Comprehensive Income, (iv) the Consolidated Statements of Stockholders’ Equity, (v) the Consolidated Statements of Cash Flows,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4889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1180" w:right="680" w:hanging="1154"/>
        <w:spacing w:after="0" w:line="234" w:lineRule="auto"/>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registrant’s Annual Report on Form 10-K for the year ended December 31, 2023, formatted in Inline XBRL (contained in Exhibit 101).</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1"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1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March 22, 2024</w:t>
      </w:r>
    </w:p>
    <w:p>
      <w:pPr>
        <w:spacing w:after="0" w:line="20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97"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President, &amp; Chief Executive Officer</w:t>
            </w:r>
          </w:p>
        </w:tc>
      </w:tr>
    </w:tbl>
    <w:p>
      <w:pPr>
        <w:spacing w:after="0" w:line="2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 IT KNOWN BY THESE PRESENT: Each of the undersigned directors and officers, has made, constituted, and appointed, and does hereby make, constitute, and appoint Roy E. Halyama and Kirtan Parikh, and each of them (with full power to each of them to act alone), with full power of substitution, his or her true and lawful attorneys-in-fact, for him or her and in his or her name, place and stead to affix his or her signature as director or officer or both, as the case may be, of the registrant, to any and all amendments to this Annual Report on Form 10-Kt and to file the same, with all exhibits thereto, and other documents in connection therewith, with the Securities and Exchange Commission, granting unto such attorney-in-fact full power and authority to do and perform every act and thing whatsoever necessary to be done in the premises, as fully as he or she might or could do if personally present, hereby ratifying and confirming all that such attorney-in-fact shall lawfully do or cause to be done by virtue hereof.</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22, 2024.</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180"/>
        </w:trPr>
        <w:tc>
          <w:tcPr>
            <w:tcW w:w="760" w:type="dxa"/>
            <w:vAlign w:val="bottom"/>
          </w:tcPr>
          <w:p>
            <w:pPr>
              <w:spacing w:after="0"/>
              <w:rPr>
                <w:sz w:val="15"/>
                <w:szCs w:val="15"/>
                <w:color w:val="auto"/>
              </w:rPr>
            </w:pPr>
          </w:p>
        </w:tc>
        <w:tc>
          <w:tcPr>
            <w:tcW w:w="4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of the Board, President &amp; Chief Executive Officer</w:t>
            </w:r>
          </w:p>
        </w:tc>
      </w:tr>
      <w:tr>
        <w:trPr>
          <w:trHeight w:val="24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Roy E. Halyama</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E. Halyama</w:t>
            </w:r>
          </w:p>
        </w:tc>
      </w:tr>
      <w:tr>
        <w:trPr>
          <w:trHeight w:val="180"/>
        </w:trPr>
        <w:tc>
          <w:tcPr>
            <w:tcW w:w="760" w:type="dxa"/>
            <w:vAlign w:val="bottom"/>
          </w:tcPr>
          <w:p>
            <w:pPr>
              <w:spacing w:after="0"/>
              <w:rPr>
                <w:sz w:val="15"/>
                <w:szCs w:val="15"/>
                <w:color w:val="auto"/>
              </w:rPr>
            </w:pPr>
          </w:p>
        </w:tc>
        <w:tc>
          <w:tcPr>
            <w:tcW w:w="4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r>
      <w:tr>
        <w:trPr>
          <w:trHeight w:val="24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Kirtan Parikh</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Kirtan Parikh</w:t>
            </w:r>
          </w:p>
        </w:tc>
      </w:tr>
      <w:tr>
        <w:trPr>
          <w:trHeight w:val="180"/>
        </w:trPr>
        <w:tc>
          <w:tcPr>
            <w:tcW w:w="760" w:type="dxa"/>
            <w:vAlign w:val="bottom"/>
          </w:tcPr>
          <w:p>
            <w:pPr>
              <w:spacing w:after="0"/>
              <w:rPr>
                <w:sz w:val="15"/>
                <w:szCs w:val="15"/>
                <w:color w:val="auto"/>
              </w:rPr>
            </w:pPr>
          </w:p>
        </w:tc>
        <w:tc>
          <w:tcPr>
            <w:tcW w:w="4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Accounting Officer (Principal</w:t>
            </w:r>
          </w:p>
        </w:tc>
      </w:tr>
      <w:tr>
        <w:trPr>
          <w:trHeight w:val="24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G. Anderson</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G. Anderson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Julian F. Barnwell, Jr.</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Julian F. Barnwell, Jr.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D. Bonnafé</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D. Bonnafé</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 Hunt Burke</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 Hunt Burke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M. Burke</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 Burke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Nicolas Carosi III</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Nicolas Carosi III</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 Laing Hinson</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Laing Hinson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Lubeley</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Lubeley</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Shawn P. McLaughlin</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Shawn P. McLaughlin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 D. Riojas</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D. Riojas</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139"/>
          </w:cols>
          <w:pgMar w:left="320" w:top="121" w:right="1440" w:bottom="1440" w:gutter="0" w:footer="0" w:header="0"/>
        </w:sectPr>
      </w:pPr>
    </w:p>
    <w:bookmarkStart w:id="163" w:name="page164"/>
    <w:bookmarkEnd w:id="163"/>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following description of the securities of Burke &amp; Herbert Financial Services Corp. (the "Company") may not be complete and is subject to, and qualified in its entirety by reference to, applicable provisions of Virginia law and the terms and provisions of the Company’s Articles of Incorporation and the Articles of Amendment to the Articles of Incorporation (collectively the “Articles”) and the Company’s Bylaws (the “Bylaws”).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The Company is authorized to issue up to 20,000,000 shares of Common Stock with a par value of $0.50 per share ("Common Stock"). The Company is also authorized to issue 2,000,000 shares of serial preferred stock, par value $1.00 per share (“Serial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2"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As of the filing date of the Annual Report on Form 10-K of which this exhibit is a part (the "Form 10-K"), The Company's Common Stock is registered under Section 12 of the Securities Exchange Act of 1934, as amended (the "Exchange Act") and is listed on the Nasdaq Stock Market LLC under the symbol "BHRB."</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All shareholders are entitled to receive notice of any meeting of shareholders of the Company, and to attend, vote and speak at such meetings, except those meetings at which only holders of a specific class of shares are entitled to vote separately as a class.</w:t>
      </w:r>
    </w:p>
    <w:p>
      <w:pPr>
        <w:spacing w:after="0" w:line="108"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per share and, in general, the affirmative vote of a majority of the shares issued, outstanding and entitled to vote is sufficient to authorize action upon routine matters. A nominee for director shall be elected to the Company's Board of Directors (the "Board") at any meeting of shareholders at which a quorum is present if the votes cast for such nominee’s election exceed the votes cast against such nominee’s election; provided, however, that nominees for director shall be elected by a plurality of the votes cast at any meeting of shareholders for which the number of nominees exceeds the number of directors to be elected. If directors are to be elected by a plurality of the votes cast, the shareholders shall not be permitted to vote against a nominee. A quorum for the transaction of business at a meeting of shareholders is present if shareholders who, together, hold a majority of the outstanding Common Stock of the Company entitled to vote are present, either in person or by proxy.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16"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The Company’s shareholders are entitled to receive dividends or distributions that its Board may declare out of funds legally available for those payments. The payment of distributions by the Company is subject to the restrictions of Virginia law applicable to the declaration of distributions by a corporation. A Virginia corporation generally may not authorize and make distributions if, after giving effect to the distribution, it would be unable to meet its debts as they become due in the usual course of business or if the corporation’s total assets would be less than the sum of its total liabilities plus the amount that would be needed, if it were dissolved at that time, to satisfy the preferential rights of shareholders whose rights are superior to the rights of those receiving the distribution. In addition, the payment of distributions to shareholders is subject to any prior rights of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2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1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the event of the liquidation, dissolution or winding-up of the Company or any other distribution of its assets among its shareholders for the purpose of winding-up its affairs, whether voluntarily or involuntarily, the holders of Shares will be entitled to ratably receive all of the Company’s assets remaining after payment of all debts and other liabilities, subject to any preferential rights of the holders of any outstanding preferred shares.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Serial Preferred Stock</w:t>
      </w:r>
    </w:p>
    <w:p>
      <w:pPr>
        <w:spacing w:after="0" w:line="21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Company’s Board is empowered to authorize the issuance of up to 2,000,000 shares of Serial Preferred Stock, in one or more classes or series, at such times, for such purposes and for such consideration as it may deem advisable without shareholder approval. The Company’s Board may fix the designations, voting powers, preferences, participation, redemption, sinking fund, conversion, dividend and other relative rights, qualifications, limitations and restrictions of any such series of preferred stock.</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shares of preferred stock were outstanding as of the date of the filing of the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Preemptive or Conversion Rights; Redemption and Assessment</w:t>
      </w:r>
    </w:p>
    <w:p>
      <w:pPr>
        <w:spacing w:after="0" w:line="21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No holder of any shares of capital stock of the Company of any class thereof shall have any preemptive rights to purchase additional shares of capital stock of the Company, securities convertible into such shares, or any options, warrants, or rights to purchase such shares or securities convertible into any such shares.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is not subject to redemption or any sinking fund and the outstanding shares are fully paid and nonassessable.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1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Bylaws provide that, to the fullest extent permitted by law, and unless we consent in writing to the selection of an alternative forum, the United States District Court for the Eastern District of Virginia, Alexandria Division or, in the event that court lacks jurisdiction, the Circuit Court of the City of Alexandria, Virginia, will be the sole and exclusive forum for:</w:t>
      </w:r>
    </w:p>
    <w:p>
      <w:pPr>
        <w:spacing w:after="0" w:line="11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its behalf;</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for breach of a fiduciary duty owed by a director, officer, employee or other agent of ours to us or our shareholders;</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or asserting a claim arising pursuant to any provision of the VSCA or any provision of our Articles of Incorporation or Bylaws; or</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including, without limitation, any action to interpret, apply, enforce or</w:t>
      </w:r>
    </w:p>
    <w:p>
      <w:pPr>
        <w:spacing w:after="0" w:line="49"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validity of our Articles of Incorporation or Bylaws, in each case subject to such court having personal jurisdiction over the indispensable parties named as defendants in any such action.</w:t>
      </w:r>
    </w:p>
    <w:p>
      <w:pPr>
        <w:spacing w:after="0" w:line="122"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By its terms, the exclusive forum provision in our bylaws would apply to claims made under the Securities Act of 1933, as amended (the "Securities Act") or the Exchange Act. Any person or entity purchasing or otherwise acquiring any interest in shares of capital stock of the Corporation shall be deemed to have notice of and have consented to the provision in this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7" w:right="339" w:bottom="1440" w:gutter="0" w:footer="0" w:header="0"/>
        </w:sectPr>
      </w:pPr>
    </w:p>
    <w:bookmarkStart w:id="165" w:name="page166"/>
    <w:bookmarkEnd w:id="165"/>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As a result of these provisions, the exclusive forum provisions may not apply to, and there is uncertainty as to whether a court would enforce such exclusive forum provisions with respect to, suits brought to enforce any duty or liability created by the Exchange Act or the Securities Act or any other claim for which the federal and state courts have concurrent jurisdiction, and our stockholders will not be deemed to have waived our compliance with the federal securities laws and the rules and regulations thereunder.</w:t>
      </w:r>
    </w:p>
    <w:p>
      <w:pPr>
        <w:spacing w:after="0" w:line="14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exclusive forum provision may limit the ability of our shareholders to bring a claim in a judicial forum that such shareholders find favorable for disputes with us or our directors or officers, which may discourage such lawsuits against us and our directors and officers or increase costs on shareholders pursuing any claims against us.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adversely affect our business, results of operations and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12"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Serial Preferred Stock. </w:t>
      </w:r>
      <w:r>
        <w:rPr>
          <w:rFonts w:ascii="Times New Roman" w:cs="Times New Roman" w:eastAsia="Times New Roman" w:hAnsi="Times New Roman"/>
          <w:sz w:val="18"/>
          <w:szCs w:val="18"/>
          <w:color w:val="auto"/>
        </w:rPr>
        <w:t>The Company’s Articles authorize the Company’s Board to establish one or more series of preferred stock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with respect to any series of preferred stock, the preferences, rights, and other terms of such series. Under this authority, the Company’s Board could create and issue a series of preferred stock with rights, preferences, or restrictions that have the effect of discriminating against an existing or prospective holder of the Company’s Common Stock as a result of such holder beneficially owning or commencing a tender offer for a substantial amount of Common Stock. One of the effects of authorized but unissued and unreserved shares of preferred stock may be to render it more difficult for, or to discourage an attempt by, a potential acquirer to obtain control of the Company by means of a merger, tender offer, proxy contest, or otherwise, and thereby protect the continuity of the Company’s management.</w:t>
      </w:r>
    </w:p>
    <w:p>
      <w:pPr>
        <w:spacing w:after="0" w:line="136"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and Board Vacancies. </w:t>
      </w:r>
      <w:r>
        <w:rPr>
          <w:rFonts w:ascii="Times New Roman" w:cs="Times New Roman" w:eastAsia="Times New Roman" w:hAnsi="Times New Roman"/>
          <w:sz w:val="18"/>
          <w:szCs w:val="18"/>
          <w:color w:val="auto"/>
        </w:rPr>
        <w:t>The Company’s Articles provide that directors may only be removed by the Company’s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and only with the affirmative vote of at least two-thirds of the outstanding shares entitled to vote. Virginia law and the Company’s Articles and Bylaws provide that any vacancy occurring on the Company’s Board may be filled by the remaining members of the Board. These provisions may discourage, delay, or prevent a third-party from voting to remove incumbent directors and simultaneously gaining control of the Company’s Board by filling the vacancies created by that removal with its own nominees.</w:t>
      </w:r>
    </w:p>
    <w:p>
      <w:pPr>
        <w:spacing w:after="0" w:line="119"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Notification Requirements. </w:t>
      </w:r>
      <w:r>
        <w:rPr>
          <w:rFonts w:ascii="Times New Roman" w:cs="Times New Roman" w:eastAsia="Times New Roman" w:hAnsi="Times New Roman"/>
          <w:sz w:val="18"/>
          <w:szCs w:val="18"/>
          <w:color w:val="auto"/>
        </w:rPr>
        <w:t>The Company’s Bylaws require a shareholder who desires to raise new business or nominate a candidate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to the Board at an annual meeting of shareholders to provide advance notice of not later than 90 days nor more than 120 days prior to the anniversary date of the immediately preceding annual meeting. The Company’s Bylaws also require shareholders who desire to raise new business to provide certain information concerning the nature of the new business, the shareholder and the shareholder’s interest in the business matter. Such requirements may discourage the shareholders from submitting nominations and proposals.</w:t>
      </w:r>
    </w:p>
    <w:p>
      <w:pPr>
        <w:spacing w:after="0" w:line="132"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Meetings. </w:t>
      </w:r>
      <w:r>
        <w:rPr>
          <w:rFonts w:ascii="Times New Roman" w:cs="Times New Roman" w:eastAsia="Times New Roman" w:hAnsi="Times New Roman"/>
          <w:sz w:val="18"/>
          <w:szCs w:val="18"/>
          <w:color w:val="auto"/>
        </w:rPr>
        <w:t>Pursuant to its Bylaws, special meetings of shareholders may be called only by a resolution of the Company’s Board,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chairperson of the Board, or by the chief executive officer. As a result, shareholders are not able to act on matters, other than at annual shareholders’ meetings, unless they are able to persuade the chairperson of the Board, the chief executive officer, or a majority of the Board to call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31" w:right="339" w:bottom="1440" w:gutter="0" w:footer="0" w:header="0"/>
        </w:sectPr>
      </w:pPr>
    </w:p>
    <w:bookmarkStart w:id="166" w:name="page167"/>
    <w:bookmarkEnd w:id="166"/>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 or Change of Control Considerations. </w:t>
      </w:r>
      <w:r>
        <w:rPr>
          <w:rFonts w:ascii="Times New Roman" w:cs="Times New Roman" w:eastAsia="Times New Roman" w:hAnsi="Times New Roman"/>
          <w:sz w:val="18"/>
          <w:szCs w:val="18"/>
          <w:color w:val="auto"/>
        </w:rPr>
        <w:t>The Company’s Bylaws provide that no plan of merger or share exchange or any direct or indirect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exchange or other disposition of all or substantially all of the Company’s property, otherwise than in the usual and regular course of business, shall be submitted to the shareholders for a vote unless such action is approved by at least two-thirds of the entire Board.</w:t>
      </w:r>
    </w:p>
    <w:p>
      <w:pPr>
        <w:spacing w:after="0" w:line="124"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Affiliated Transactions Statute. </w:t>
      </w:r>
      <w:r>
        <w:rPr>
          <w:rFonts w:ascii="Times New Roman" w:cs="Times New Roman" w:eastAsia="Times New Roman" w:hAnsi="Times New Roman"/>
          <w:sz w:val="18"/>
          <w:szCs w:val="18"/>
          <w:color w:val="auto"/>
        </w:rPr>
        <w:t>The Virginia Stock Corporation Act (“VSCA”) contains provisions governing “affiliated transactions.” These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transactions such as mergers, share exchanges, sales, leases, or other material dispositions of assets, issuances of securities, dissolutions, and similar transactions with an “interested shareholder.” An interested shareholder is generally any beneficial owner of more than 10% of any class of a corporation’s outstanding voting shares. During the three years following the date a shareholder becomes an interested shareholder, any affiliated transaction with the interested shareholder must be approved by both a majority of the “disinterested directors” (those directors who were directors before the interested shareholder became an interested shareholder or who were recommended for election by a majority of disinterested directors) and by the affirmative vote of the holders of two-thirds of the corporation’s voting shares other than shares beneficially owned by the interested shareholder. These requirements do not apply to affiliated transactions if, among other things, a majority of the disinterested directors approve the interested shareholder’s acquisition of voting shares making such a person an interested shareholder before such acquisition. Beginning three years after the shareholder becomes an interested shareholder, the corporation may engage in an affiliated transaction with the interested shareholder if:</w:t>
      </w:r>
    </w:p>
    <w:p>
      <w:pPr>
        <w:spacing w:after="0" w:line="145" w:lineRule="exact"/>
        <w:rPr>
          <w:sz w:val="20"/>
          <w:szCs w:val="20"/>
          <w:color w:val="auto"/>
        </w:rPr>
      </w:pPr>
    </w:p>
    <w:p>
      <w:pPr>
        <w:ind w:left="660" w:hanging="328"/>
        <w:spacing w:after="0" w:line="313"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holders of two-thirds of the corporation’s voting shares, other than shares beneficially owned by the interested shareholder;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affiliated transaction has been approved by a majority of the disinterested directors; or</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305"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additional requirements, in the affiliated transaction the holders of each class or series of voting shares will receive consideration meeting specified fair price and other requirements designed to ensure that all shareholders receive fair and equivalent consideration, regardless of when they tendered their shares.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provisions of the Affiliated Transactions Statute are only applicable to public corporations that have more than 300 shareholders.</w:t>
      </w:r>
    </w:p>
    <w:p>
      <w:pPr>
        <w:spacing w:after="0" w:line="208"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Statute. </w:t>
      </w:r>
      <w:r>
        <w:rPr>
          <w:rFonts w:ascii="Times New Roman" w:cs="Times New Roman" w:eastAsia="Times New Roman" w:hAnsi="Times New Roman"/>
          <w:sz w:val="18"/>
          <w:szCs w:val="18"/>
          <w:color w:val="auto"/>
        </w:rPr>
        <w:t>Under the VSCA’s control share acquisitions statute, voting rights of shares of stock of a Virginia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by an acquiring person or other entity at ownership levels of 20%, 33 1/3%, and 50% of the outstanding shares may, under certain circumstances, be denied. The voting rights may be denied:</w:t>
      </w:r>
    </w:p>
    <w:p>
      <w:pPr>
        <w:spacing w:after="0" w:line="114" w:lineRule="exact"/>
        <w:rPr>
          <w:sz w:val="20"/>
          <w:szCs w:val="20"/>
          <w:color w:val="auto"/>
        </w:rPr>
      </w:pPr>
    </w:p>
    <w:p>
      <w:pPr>
        <w:ind w:left="660" w:hanging="328"/>
        <w:spacing w:after="0" w:line="329"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conferred by a special shareholder vote of a majority of the outstanding shares entitled to vote for directors, other than shares held by the acquiring person and officers and directors of the corporation; or</w:t>
      </w:r>
    </w:p>
    <w:p>
      <w:pPr>
        <w:spacing w:after="0" w:line="94"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other exceptions, unless such acquisition of shares is made pursuant to an affiliation agreement with the corporation or the corporation’s articles of incorporation or bylaws permit the acquisition of such shares before the acquiring person’s acquisition thereof.</w:t>
      </w:r>
    </w:p>
    <w:p>
      <w:pPr>
        <w:spacing w:after="0" w:line="9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If authorized in the corporation’s articles of incorporation or bylaws, the statute also permits the corporation to redeem the acquired shares at the average per share price paid for them if the voting rights are not approved or if the acquiring person does not file a “control share acquisition statement” with the corporation within 60 days of the last acquisition of such shares. If voting rights are approved for control shares comprising more than 50% of the corporation’s outstanding stock, objecting shareholders may have the right to have their shares repurchased by the corporation for “fair value.” The provisions of the Control Share Acquisition Statute are only applicable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7" w:right="339" w:bottom="1440" w:gutter="0" w:footer="0" w:header="0"/>
        </w:sectPr>
      </w:pPr>
    </w:p>
    <w:bookmarkStart w:id="167" w:name="page168"/>
    <w:bookmarkEnd w:id="167"/>
    <w:p>
      <w:pPr>
        <w:jc w:val="both"/>
        <w:spacing w:after="0" w:line="329" w:lineRule="auto"/>
        <w:rPr>
          <w:sz w:val="20"/>
          <w:szCs w:val="20"/>
          <w:color w:val="auto"/>
        </w:rPr>
      </w:pPr>
      <w:r>
        <w:rPr>
          <w:rFonts w:ascii="Times New Roman" w:cs="Times New Roman" w:eastAsia="Times New Roman" w:hAnsi="Times New Roman"/>
          <w:sz w:val="18"/>
          <w:szCs w:val="18"/>
          <w:color w:val="auto"/>
        </w:rPr>
        <w:t>corporations that have more than 300 shareholders. Corporations may provide in their articles of incorporation or bylaws to opt-out of the Control Share Acquisition Statute, but the Company has not done so.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the Company’s Common Stock is Equiniti Trust Company, LLC, 6201 15th Avenue, Brooklyn, New York 11219.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Are Not Insured by the FDIC</w:t>
      </w:r>
    </w:p>
    <w:p>
      <w:pPr>
        <w:spacing w:after="0" w:line="21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Investments in the Common Stock or any of the Company’s equity or debt securities will not qualify as deposits or savings accounts and will not be insured or guaranteed by the FDIC or any other governmental agency and are subject to investment risk, including the possible loss of investment or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31"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Burke &amp; Herbert Financial Services Corp.</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jc w:val="center"/>
              <w:ind w:right="2800"/>
              <w:spacing w:after="0"/>
              <w:rPr>
                <w:sz w:val="20"/>
                <w:szCs w:val="20"/>
                <w:color w:val="auto"/>
              </w:rPr>
            </w:pPr>
            <w:r>
              <w:rPr>
                <w:rFonts w:ascii="Times New Roman" w:cs="Times New Roman" w:eastAsia="Times New Roman" w:hAnsi="Times New Roman"/>
                <w:sz w:val="18"/>
                <w:szCs w:val="18"/>
                <w:color w:val="auto"/>
                <w:w w:val="99"/>
              </w:rPr>
              <w:t>Name of Subsidiary</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of Incorporation</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Burke &amp; Herbert Bank &amp; Trust Company</w:t>
            </w:r>
          </w:p>
        </w:tc>
        <w:tc>
          <w:tcPr>
            <w:tcW w:w="2800" w:type="dxa"/>
            <w:vAlign w:val="bottom"/>
          </w:tcPr>
          <w:p>
            <w:pPr>
              <w:spacing w:after="0"/>
              <w:rPr>
                <w:sz w:val="19"/>
                <w:szCs w:val="19"/>
                <w:color w:val="auto"/>
              </w:rPr>
            </w:pPr>
          </w:p>
        </w:tc>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Virginia</w:t>
            </w:r>
          </w:p>
        </w:tc>
      </w:tr>
    </w:tbl>
    <w:p>
      <w:pPr>
        <w:sectPr>
          <w:pgSz w:w="11900" w:h="16838" w:orient="portrait"/>
          <w:cols w:equalWidth="0" w:num="1">
            <w:col w:w="11240"/>
          </w:cols>
          <w:pgMar w:left="320" w:top="1413"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consent to the incorporation by reference in Registration Statement No. 333-272221 on Form S-8 of Burke &amp; Herbert Financial Services Corp. of our report dated March 22, 2024 relating to the consolidated financial statements of Burke &amp; Herbert Financial Services Corp.,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/s/ 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22860</wp:posOffset>
            </wp:positionV>
            <wp:extent cx="11569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Crowe LLP</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rPr>
          <w:sz w:val="20"/>
          <w:szCs w:val="20"/>
          <w:color w:val="auto"/>
        </w:rPr>
      </w:pPr>
      <w:r>
        <w:rPr>
          <w:rFonts w:ascii="Arial" w:cs="Arial" w:eastAsia="Arial" w:hAnsi="Arial"/>
          <w:sz w:val="18"/>
          <w:szCs w:val="18"/>
          <w:color w:val="auto"/>
        </w:rPr>
        <w:t>March 22, 2024</w:t>
      </w:r>
    </w:p>
    <w:p>
      <w:pPr>
        <w:sectPr>
          <w:pgSz w:w="11900" w:h="16838" w:orient="portrait"/>
          <w:cols w:equalWidth="0" w:num="1">
            <w:col w:w="11240"/>
          </w:cols>
          <w:pgMar w:left="320" w:top="1440"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David P. Boyle, certify that:</w:t>
      </w:r>
    </w:p>
    <w:p>
      <w:pPr>
        <w:spacing w:after="0" w:line="256"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Burke &amp; Herbert Financial Services Corp.;</w:t>
      </w:r>
    </w:p>
    <w:p>
      <w:pPr>
        <w:spacing w:after="0" w:line="103" w:lineRule="exact"/>
        <w:rPr>
          <w:rFonts w:ascii="Times New Roman" w:cs="Times New Roman" w:eastAsia="Times New Roman" w:hAnsi="Times New Roman"/>
          <w:sz w:val="18"/>
          <w:szCs w:val="18"/>
          <w:color w:val="auto"/>
        </w:rPr>
      </w:pPr>
    </w:p>
    <w:p>
      <w:pPr>
        <w:jc w:val="both"/>
        <w:ind w:left="260" w:right="20" w:hanging="252"/>
        <w:spacing w:after="0" w:line="312" w:lineRule="auto"/>
        <w:tabs>
          <w:tab w:leader="none" w:pos="4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7"/>
          <w:szCs w:val="17"/>
          <w:color w:val="auto"/>
        </w:rPr>
      </w:pPr>
    </w:p>
    <w:p>
      <w:pPr>
        <w:ind w:left="260" w:hanging="252"/>
        <w:spacing w:after="0" w:line="282" w:lineRule="auto"/>
        <w:tabs>
          <w:tab w:leader="none" w:pos="4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3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8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3" w:lineRule="exact"/>
        <w:rPr>
          <w:rFonts w:ascii="Times New Roman" w:cs="Times New Roman" w:eastAsia="Times New Roman" w:hAnsi="Times New Roman"/>
          <w:sz w:val="18"/>
          <w:szCs w:val="18"/>
          <w:color w:val="auto"/>
        </w:rPr>
      </w:pPr>
    </w:p>
    <w:p>
      <w:pPr>
        <w:jc w:val="both"/>
        <w:ind w:left="900" w:right="580" w:hanging="244"/>
        <w:spacing w:after="0" w:line="312" w:lineRule="auto"/>
        <w:tabs>
          <w:tab w:leader="none" w:pos="97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jc w:val="both"/>
        <w:ind w:left="900" w:hanging="244"/>
        <w:spacing w:after="0" w:line="266" w:lineRule="auto"/>
        <w:tabs>
          <w:tab w:leader="none" w:pos="9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260" w:hanging="252"/>
        <w:spacing w:after="0" w:line="282" w:lineRule="auto"/>
        <w:tabs>
          <w:tab w:leader="none" w:pos="4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4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00" w:hanging="244"/>
        <w:spacing w:after="0" w:line="282" w:lineRule="auto"/>
        <w:tabs>
          <w:tab w:leader="none" w:pos="10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registrant’s internal control over financial reporting.</w:t>
      </w:r>
    </w:p>
    <w:p>
      <w:pPr>
        <w:spacing w:after="0" w:line="310"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189"/>
        </w:trPr>
        <w:tc>
          <w:tcPr>
            <w:tcW w:w="740" w:type="dxa"/>
            <w:vAlign w:val="bottom"/>
          </w:tcPr>
          <w:p>
            <w:pPr>
              <w:spacing w:after="0"/>
              <w:rPr>
                <w:sz w:val="16"/>
                <w:szCs w:val="16"/>
                <w:color w:val="auto"/>
              </w:rPr>
            </w:pPr>
          </w:p>
        </w:tc>
        <w:tc>
          <w:tcPr>
            <w:tcW w:w="3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Chairman of the Board, President, &amp; Chief</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ectPr>
          <w:pgSz w:w="11900" w:h="16838" w:orient="portrait"/>
          <w:cols w:equalWidth="0" w:num="1">
            <w:col w:w="11240"/>
          </w:cols>
          <w:pgMar w:left="320" w:top="1413"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Roy E. Halyama, certify that:</w:t>
      </w:r>
    </w:p>
    <w:p>
      <w:pPr>
        <w:spacing w:after="0" w:line="256"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Burke &amp; Herbert Financial Services Corp.;</w:t>
      </w:r>
    </w:p>
    <w:p>
      <w:pPr>
        <w:spacing w:after="0" w:line="103" w:lineRule="exact"/>
        <w:rPr>
          <w:rFonts w:ascii="Times New Roman" w:cs="Times New Roman" w:eastAsia="Times New Roman" w:hAnsi="Times New Roman"/>
          <w:sz w:val="18"/>
          <w:szCs w:val="18"/>
          <w:color w:val="auto"/>
        </w:rPr>
      </w:pPr>
    </w:p>
    <w:p>
      <w:pPr>
        <w:jc w:val="both"/>
        <w:ind w:left="260" w:right="20" w:hanging="252"/>
        <w:spacing w:after="0" w:line="312" w:lineRule="auto"/>
        <w:tabs>
          <w:tab w:leader="none" w:pos="4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7"/>
          <w:szCs w:val="17"/>
          <w:color w:val="auto"/>
        </w:rPr>
      </w:pPr>
    </w:p>
    <w:p>
      <w:pPr>
        <w:ind w:left="260" w:hanging="252"/>
        <w:spacing w:after="0" w:line="282" w:lineRule="auto"/>
        <w:tabs>
          <w:tab w:leader="none" w:pos="4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3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85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3" w:lineRule="exact"/>
        <w:rPr>
          <w:rFonts w:ascii="Times New Roman" w:cs="Times New Roman" w:eastAsia="Times New Roman" w:hAnsi="Times New Roman"/>
          <w:sz w:val="18"/>
          <w:szCs w:val="18"/>
          <w:color w:val="auto"/>
        </w:rPr>
      </w:pPr>
    </w:p>
    <w:p>
      <w:pPr>
        <w:jc w:val="both"/>
        <w:ind w:left="900" w:right="580" w:hanging="244"/>
        <w:spacing w:after="0" w:line="312" w:lineRule="auto"/>
        <w:tabs>
          <w:tab w:leader="none" w:pos="97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jc w:val="both"/>
        <w:ind w:left="900" w:hanging="244"/>
        <w:spacing w:after="0" w:line="266" w:lineRule="auto"/>
        <w:tabs>
          <w:tab w:leader="none" w:pos="9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260" w:hanging="252"/>
        <w:spacing w:after="0" w:line="282" w:lineRule="auto"/>
        <w:tabs>
          <w:tab w:leader="none" w:pos="4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00" w:hanging="244"/>
        <w:spacing w:after="0" w:line="282" w:lineRule="auto"/>
        <w:tabs>
          <w:tab w:leader="none" w:pos="100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registrant’s internal control over financial reporting.</w:t>
      </w:r>
    </w:p>
    <w:p>
      <w:pPr>
        <w:spacing w:after="0" w:line="310"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Roy E. Halyama</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E. Halyama</w:t>
            </w:r>
          </w:p>
        </w:tc>
      </w:tr>
      <w:tr>
        <w:trPr>
          <w:trHeight w:val="189"/>
        </w:trPr>
        <w:tc>
          <w:tcPr>
            <w:tcW w:w="740" w:type="dxa"/>
            <w:vAlign w:val="bottom"/>
          </w:tcPr>
          <w:p>
            <w:pPr>
              <w:spacing w:after="0"/>
              <w:rPr>
                <w:sz w:val="16"/>
                <w:szCs w:val="16"/>
                <w:color w:val="auto"/>
              </w:rPr>
            </w:pPr>
          </w:p>
        </w:tc>
        <w:tc>
          <w:tcPr>
            <w:tcW w:w="3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ectPr>
          <w:pgSz w:w="11900" w:h="16838" w:orient="portrait"/>
          <w:cols w:equalWidth="0" w:num="1">
            <w:col w:w="11240"/>
          </w:cols>
          <w:pgMar w:left="320" w:top="1413" w:right="339" w:bottom="1440" w:gutter="0" w:footer="0" w:header="0"/>
        </w:sectPr>
      </w:pPr>
    </w:p>
    <w:bookmarkStart w:id="172" w:name="page173"/>
    <w:bookmarkEnd w:id="172"/>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Burke &amp; Herbert Financial Services Corp. (“Burke &amp; Herbert”) on Form 10-K for the year ending December 31, 2023 as filed with the Securities and Exchange Commission on the date hereof, I, David P. Boyle, Chairman of the Board, President &amp; Chief Executive Officer of Burke &amp; Herbert, certify pursuant to 18 U.S.C. § 1350, as adopted pursuant to § 906 of the Sarbanes-Oxley Act of 2002, that:</w:t>
      </w:r>
    </w:p>
    <w:p>
      <w:pPr>
        <w:spacing w:after="0" w:line="297"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600" w:firstLine="8"/>
        <w:spacing w:after="0" w:line="282"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Burke &amp; Herbert.</w:t>
      </w:r>
    </w:p>
    <w:p>
      <w:pPr>
        <w:spacing w:after="0" w:line="229"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180"/>
        </w:trPr>
        <w:tc>
          <w:tcPr>
            <w:tcW w:w="740" w:type="dxa"/>
            <w:vAlign w:val="bottom"/>
          </w:tcPr>
          <w:p>
            <w:pPr>
              <w:spacing w:after="0"/>
              <w:rPr>
                <w:sz w:val="15"/>
                <w:szCs w:val="15"/>
                <w:color w:val="auto"/>
              </w:rPr>
            </w:pPr>
          </w:p>
        </w:tc>
        <w:tc>
          <w:tcPr>
            <w:tcW w:w="3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of the Board, President, &amp; Chief</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ectPr>
          <w:pgSz w:w="11900" w:h="16838" w:orient="portrait"/>
          <w:cols w:equalWidth="0" w:num="1">
            <w:col w:w="11240"/>
          </w:cols>
          <w:pgMar w:left="320" w:top="1413" w:right="339" w:bottom="1440" w:gutter="0" w:footer="0" w:header="0"/>
        </w:sectPr>
      </w:pPr>
    </w:p>
    <w:bookmarkStart w:id="173" w:name="page174"/>
    <w:bookmarkEnd w:id="173"/>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Burke &amp; Herbert Financial Services Corp. (“Burke &amp; Herbert”) on Form 10-K for the year ending December 31, 2023 as filed with the Securities and Exchange Commission on the date hereof, I, Roy E. Halyama, Executive Vice President and Chief Financial Officer of Burke &amp; Herbert, certify pursuant to 18 U.S.C. § 1350, as adopted pursuant to § 906 of the Sarbanes-Oxley Act of 2002, that:</w:t>
      </w:r>
    </w:p>
    <w:p>
      <w:pPr>
        <w:spacing w:after="0" w:line="297" w:lineRule="exact"/>
        <w:rPr>
          <w:sz w:val="20"/>
          <w:szCs w:val="20"/>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600" w:firstLine="8"/>
        <w:spacing w:after="0" w:line="282"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Burke &amp; Herbert.</w:t>
      </w:r>
    </w:p>
    <w:p>
      <w:pPr>
        <w:spacing w:after="0" w:line="229"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Roy E. Halyama</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E. Halyama</w:t>
            </w:r>
          </w:p>
        </w:tc>
      </w:tr>
      <w:tr>
        <w:trPr>
          <w:trHeight w:val="180"/>
        </w:trPr>
        <w:tc>
          <w:tcPr>
            <w:tcW w:w="740" w:type="dxa"/>
            <w:vAlign w:val="bottom"/>
          </w:tcPr>
          <w:p>
            <w:pPr>
              <w:spacing w:after="0"/>
              <w:rPr>
                <w:sz w:val="15"/>
                <w:szCs w:val="15"/>
                <w:color w:val="auto"/>
              </w:rPr>
            </w:pPr>
          </w:p>
        </w:tc>
        <w:tc>
          <w:tcPr>
            <w:tcW w:w="3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2024</w:t>
      </w:r>
    </w:p>
    <w:p>
      <w:pPr>
        <w:sectPr>
          <w:pgSz w:w="11900" w:h="16838" w:orient="portrait"/>
          <w:cols w:equalWidth="0" w:num="1">
            <w:col w:w="11240"/>
          </w:cols>
          <w:pgMar w:left="320" w:top="1413"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2"/>
          <w:szCs w:val="22"/>
          <w:b w:val="1"/>
          <w:bCs w:val="1"/>
          <w:color w:val="auto"/>
        </w:rPr>
        <w:t>BURKE &amp; HERBERT FINANCIAL SERVICES CORP.</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Board of Directors (the “Board”) of Burke &amp; Herbert Financial Services Corp. (the “Company”), upon recommendation of the Compensation Committee of the Board (the “Compensation Committee”) has adopted the following Clawback Policy (this “Policy”) on July 27, 2023, effective as of October 2, 2023 (the “Effective Date”).</w:t>
      </w:r>
    </w:p>
    <w:p>
      <w:pPr>
        <w:spacing w:after="0" w:line="148" w:lineRule="exact"/>
        <w:rPr>
          <w:sz w:val="20"/>
          <w:szCs w:val="20"/>
          <w:color w:val="auto"/>
        </w:rPr>
      </w:pPr>
    </w:p>
    <w:p>
      <w:pPr>
        <w:jc w:val="both"/>
        <w:ind w:firstLine="8"/>
        <w:spacing w:after="0" w:line="221" w:lineRule="auto"/>
        <w:tabs>
          <w:tab w:leader="none" w:pos="64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purpose of this Policy is to provide for the recoupment of certain incentive compensation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954 of the Dodd-Frank Wall Street Reform and Consumer Protection Act of 2010, in the manner required by Section 10D of the Securities Exchange Act of 1934, as amended (the “Exchange Act”), Rule 10D-1 promulgated thereunder, and the Applicable Listing Standards (as defined below) (collectively, the “Dodd-Frank Rules”).</w:t>
      </w:r>
    </w:p>
    <w:p>
      <w:pPr>
        <w:spacing w:after="0" w:line="148" w:lineRule="exact"/>
        <w:rPr>
          <w:rFonts w:ascii="Times New Roman" w:cs="Times New Roman" w:eastAsia="Times New Roman" w:hAnsi="Times New Roman"/>
          <w:sz w:val="22"/>
          <w:szCs w:val="22"/>
          <w:b w:val="1"/>
          <w:bCs w:val="1"/>
          <w:color w:val="auto"/>
        </w:rPr>
      </w:pPr>
    </w:p>
    <w:p>
      <w:pPr>
        <w:ind w:right="20" w:firstLine="8"/>
        <w:spacing w:after="0" w:line="238" w:lineRule="auto"/>
        <w:tabs>
          <w:tab w:leader="none" w:pos="64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This Policy shall be administered by the Compensation Committee. Any determinations made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shall be final and binding on all affected individuals.</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For purposes of this Policy, the following capitalized terms shall have the meanings set forth below.</w:t>
      </w:r>
    </w:p>
    <w:p>
      <w:pPr>
        <w:spacing w:after="0" w:line="177"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shall mean an accounting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“Big R” restatement), or (ii) that would result in a material misstatement if the error were corrected in the current period or left uncorrected in the current period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“little r” restatement).</w:t>
      </w:r>
    </w:p>
    <w:p>
      <w:pPr>
        <w:spacing w:after="0" w:line="147" w:lineRule="exact"/>
        <w:rPr>
          <w:rFonts w:ascii="Times New Roman" w:cs="Times New Roman" w:eastAsia="Times New Roman" w:hAnsi="Times New Roman"/>
          <w:sz w:val="22"/>
          <w:szCs w:val="22"/>
          <w:color w:val="auto"/>
        </w:rPr>
      </w:pPr>
    </w:p>
    <w:p>
      <w:pPr>
        <w:ind w:firstLine="656"/>
        <w:spacing w:after="0" w:line="239" w:lineRule="auto"/>
        <w:tabs>
          <w:tab w:leader="none" w:pos="129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shall mean each entity that directly or indirectly controls, is controlled by, or is under common control with the Company.</w:t>
      </w:r>
    </w:p>
    <w:p>
      <w:pPr>
        <w:spacing w:after="0" w:line="144"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Exchange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mean (i) The Nasdaq Stock Market, if the Company’s securities are listed on such national stock exchange, or (ii) the New York Stock Exchange, if the Company’s securities are listed on such national stock exchange.</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Listing Standards</w:t>
      </w:r>
      <w:r>
        <w:rPr>
          <w:rFonts w:ascii="Times New Roman" w:cs="Times New Roman" w:eastAsia="Times New Roman" w:hAnsi="Times New Roman"/>
          <w:sz w:val="22"/>
          <w:szCs w:val="22"/>
          <w:color w:val="auto"/>
        </w:rPr>
        <w:t>” shall mean (i) Nasdaq Listing Rule 5608, if the Company’s securities are listed on The Nasdaq Stock Market, or (ii) Section 303A.14 of the New York Stock Exchange Listed Company Manual, if the Company’s securities are listed on the New York Stock Exchange.</w:t>
      </w:r>
    </w:p>
    <w:p>
      <w:pPr>
        <w:spacing w:after="0" w:line="146"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3"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Clawback Eligible Incentive Compensation</w:t>
      </w:r>
      <w:r>
        <w:rPr>
          <w:rFonts w:ascii="Times New Roman" w:cs="Times New Roman" w:eastAsia="Times New Roman" w:hAnsi="Times New Roman"/>
          <w:sz w:val="21"/>
          <w:szCs w:val="21"/>
          <w:color w:val="auto"/>
        </w:rPr>
        <w:t>” shall mean Incentive-Based Compensation Received by a Covered Executive (i) on or after the Effective Date, (ii) after beginning service as a Covered Executive, (iii) if such individual served as a Covered Executive at any time during the performance period for such Incentive-Based Compensation (irrespective of whether such individual continued to serve as a Covered Executive upon or following the Restatement Trigger Date), (iv) while the Company has a class of securities listed on a national securities exchange or a national securities association, and (v) during the applicable Clawback Period. For the avoidance of doubt, Incentive-Based Compensation Received by a Covered Executive on or after the Effective Date could, by the terms of this Policy, include amounts approved, awarded, or granted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160989091v1</w:t>
      </w:r>
    </w:p>
    <w:p>
      <w:pPr>
        <w:sectPr>
          <w:pgSz w:w="11900" w:h="16838" w:orient="portrait"/>
          <w:cols w:equalWidth="0" w:num="1">
            <w:col w:w="11240"/>
          </w:cols>
          <w:pgMar w:left="320" w:top="1391" w:right="339" w:bottom="1440" w:gutter="0" w:footer="0" w:header="0"/>
        </w:sectPr>
      </w:pPr>
    </w:p>
    <w:bookmarkStart w:id="175" w:name="page176"/>
    <w:bookmarkEnd w:id="175"/>
    <w:p>
      <w:pPr>
        <w:jc w:val="both"/>
        <w:ind w:firstLine="656"/>
        <w:spacing w:after="0" w:line="218" w:lineRule="auto"/>
        <w:tabs>
          <w:tab w:leader="none" w:pos="129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shall mean, with respect to any Accounting Restatement, the three completed fiscal years of the Company immediately preceding the Restatement Trigger Date and any transition period (that results from a change in the Company’s fiscal year) within or immediately following those three completed fiscal years (except that a transition period between the last day of the Company’s previous fiscal year end and the first day of its new fiscal year that comprises a period of at least nine months shall count as a completed fiscal year).</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shall mean the Company and its Affiliates.</w:t>
      </w:r>
    </w:p>
    <w:p>
      <w:pPr>
        <w:spacing w:after="0" w:line="179"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Executive</w:t>
      </w:r>
      <w:r>
        <w:rPr>
          <w:rFonts w:ascii="Times New Roman" w:cs="Times New Roman" w:eastAsia="Times New Roman" w:hAnsi="Times New Roman"/>
          <w:sz w:val="22"/>
          <w:szCs w:val="22"/>
          <w:color w:val="auto"/>
        </w:rPr>
        <w:t>” shall mean any “executive officer” of the Company as defined under the Dodd-Frank Rules, and, for the avoidance of doubt, includes each individual identified as an executive officer of the Company in accordance with Item 401(b) of Regulation S-K under the Exchange Act.</w:t>
      </w:r>
    </w:p>
    <w:p>
      <w:pPr>
        <w:spacing w:after="0" w:line="146"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shall mean the amount of Clawback Eligible Incentive Compensation that exceeds the amount of Incentive-Based Compensation that otherwise would have been Received had it been determined based on the restated amounts, computed without regard to any taxes paid. With respect to any compensation plan or program that takes into account Incentive-Based Compensation, the amount contributed to a notional account that exceeds the amount that otherwise would have been contributed had it been determined based on the restated amount, computed without regard to any taxes paid, shall be considered Erroneously Awarded Compensation, along with earnings accrued on that notional amount.</w:t>
      </w:r>
    </w:p>
    <w:p>
      <w:pPr>
        <w:spacing w:after="0" w:line="145"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measure need not be presented in the Company’s financial statements or included in a filing with the U.S. Securities and Exchange Commission (the “SEC”) in order to be considered a Financial Reporting Measure.</w:t>
      </w:r>
    </w:p>
    <w:p>
      <w:pPr>
        <w:spacing w:after="0" w:line="145" w:lineRule="exact"/>
        <w:rPr>
          <w:rFonts w:ascii="Times New Roman" w:cs="Times New Roman" w:eastAsia="Times New Roman" w:hAnsi="Times New Roman"/>
          <w:sz w:val="22"/>
          <w:szCs w:val="22"/>
          <w:color w:val="auto"/>
        </w:rPr>
      </w:pPr>
    </w:p>
    <w:p>
      <w:pPr>
        <w:ind w:right="20" w:firstLine="656"/>
        <w:spacing w:after="0" w:line="239" w:lineRule="auto"/>
        <w:tabs>
          <w:tab w:leader="none" w:pos="129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w:t>
      </w:r>
    </w:p>
    <w:p>
      <w:pPr>
        <w:spacing w:after="0" w:line="144" w:lineRule="exact"/>
        <w:rPr>
          <w:rFonts w:ascii="Times New Roman" w:cs="Times New Roman" w:eastAsia="Times New Roman" w:hAnsi="Times New Roman"/>
          <w:sz w:val="22"/>
          <w:szCs w:val="22"/>
          <w:color w:val="auto"/>
        </w:rPr>
      </w:pPr>
    </w:p>
    <w:p>
      <w:pPr>
        <w:jc w:val="both"/>
        <w:ind w:firstLine="656"/>
        <w:spacing w:after="0" w:line="222" w:lineRule="auto"/>
        <w:tabs>
          <w:tab w:leader="none" w:pos="128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shall mean the deemed receipt of Incentive-Based Compensation. Incentive-Based Compensation shall be deemed received for this purpose in the Company’s fiscal period during which the Financial Reporting Measure specified in the applicable Incentive-Based Compensation award is attained, even if payment or grant of the Incentive-Based Compensation occurs after the end of that period.</w:t>
      </w:r>
    </w:p>
    <w:p>
      <w:pPr>
        <w:spacing w:after="0" w:line="143" w:lineRule="exact"/>
        <w:rPr>
          <w:rFonts w:ascii="Times New Roman" w:cs="Times New Roman" w:eastAsia="Times New Roman" w:hAnsi="Times New Roman"/>
          <w:sz w:val="22"/>
          <w:szCs w:val="22"/>
          <w:color w:val="auto"/>
        </w:rPr>
      </w:pPr>
    </w:p>
    <w:p>
      <w:pPr>
        <w:jc w:val="both"/>
        <w:ind w:firstLine="656"/>
        <w:spacing w:after="0" w:line="222" w:lineRule="auto"/>
        <w:tabs>
          <w:tab w:leader="none" w:pos="128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 Trigger Date</w:t>
      </w:r>
      <w:r>
        <w:rPr>
          <w:rFonts w:ascii="Times New Roman" w:cs="Times New Roman" w:eastAsia="Times New Roman" w:hAnsi="Times New Roman"/>
          <w:sz w:val="22"/>
          <w:szCs w:val="22"/>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45" w:lineRule="exact"/>
        <w:rPr>
          <w:rFonts w:ascii="Times New Roman" w:cs="Times New Roman" w:eastAsia="Times New Roman" w:hAnsi="Times New Roman"/>
          <w:sz w:val="22"/>
          <w:szCs w:val="22"/>
          <w:color w:val="auto"/>
        </w:rPr>
      </w:pPr>
    </w:p>
    <w:p>
      <w:pPr>
        <w:jc w:val="both"/>
        <w:ind w:firstLine="8"/>
        <w:spacing w:after="0" w:line="227" w:lineRule="auto"/>
        <w:tabs>
          <w:tab w:leader="none" w:pos="6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Recoupment of Erroneously Awarded Compensation</w:t>
      </w:r>
      <w:r>
        <w:rPr>
          <w:rFonts w:ascii="Times New Roman" w:cs="Times New Roman" w:eastAsia="Times New Roman" w:hAnsi="Times New Roman"/>
          <w:sz w:val="22"/>
          <w:szCs w:val="22"/>
          <w:color w:val="auto"/>
        </w:rPr>
        <w:t>. Upon the occurrence of a Restatement Trigger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shall recoup Erroneously Awarded Compensation reasonably promptly, in the manner described below. For the avoidance of doubt,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160989091v1</w:t>
      </w:r>
    </w:p>
    <w:p>
      <w:pPr>
        <w:sectPr>
          <w:pgSz w:w="11900" w:h="16838" w:orient="portrait"/>
          <w:cols w:equalWidth="0" w:num="1">
            <w:col w:w="11240"/>
          </w:cols>
          <w:pgMar w:left="320" w:top="1389" w:right="339" w:bottom="1440" w:gutter="0" w:footer="0" w:header="0"/>
        </w:sectPr>
      </w:pPr>
    </w:p>
    <w:bookmarkStart w:id="176" w:name="page177"/>
    <w:bookmarkEnd w:id="176"/>
    <w:p>
      <w:pPr>
        <w:spacing w:after="0" w:line="236" w:lineRule="auto"/>
        <w:rPr>
          <w:sz w:val="20"/>
          <w:szCs w:val="20"/>
          <w:color w:val="auto"/>
        </w:rPr>
      </w:pPr>
      <w:r>
        <w:rPr>
          <w:rFonts w:ascii="Times New Roman" w:cs="Times New Roman" w:eastAsia="Times New Roman" w:hAnsi="Times New Roman"/>
          <w:sz w:val="22"/>
          <w:szCs w:val="22"/>
          <w:color w:val="auto"/>
        </w:rPr>
        <w:t>obligation to recover Erroneously Awarded Compensation under this Policy is not dependent on if or when restated financial statements are filed following the Restatement Trigger Date.</w:t>
      </w:r>
    </w:p>
    <w:p>
      <w:pPr>
        <w:spacing w:after="0" w:line="144"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Process. </w:t>
      </w:r>
      <w:r>
        <w:rPr>
          <w:rFonts w:ascii="Times New Roman" w:cs="Times New Roman" w:eastAsia="Times New Roman" w:hAnsi="Times New Roman"/>
          <w:sz w:val="22"/>
          <w:szCs w:val="22"/>
          <w:color w:val="auto"/>
        </w:rPr>
        <w:t>The Compensation Committee shall use the following process for recoupment:</w:t>
      </w:r>
    </w:p>
    <w:p>
      <w:pPr>
        <w:spacing w:after="0" w:line="185"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the Compensation Committee will determine the amount of any Erroneously Awarded Compensation for each Covered Executive in connection with such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Compensation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Applicable Exchange).</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Compensation Committee will provide each affected Covered Executive with a written notice stating the amount of the Erroneously Awarded Compensation, a demand for recoupment, and the means of recoupment that the Company will accept.</w:t>
      </w:r>
    </w:p>
    <w:p>
      <w:pPr>
        <w:spacing w:after="0" w:line="146"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Means of Recoupment. </w:t>
      </w:r>
      <w:r>
        <w:rPr>
          <w:rFonts w:ascii="Times New Roman" w:cs="Times New Roman" w:eastAsia="Times New Roman" w:hAnsi="Times New Roman"/>
          <w:sz w:val="22"/>
          <w:szCs w:val="22"/>
          <w:color w:val="auto"/>
        </w:rPr>
        <w:t>The Compensation Committee shall have discretion to determine the appropriate means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recoupment of Erroneously Awarded Compensation, which may include without limitation: (i) recoupment of cash or shares of Company stock, (ii) forfeiture of unvested cash or equity awards (including those subject to service-based and/or performance-based vesting conditions), (iii) cancellation of outstanding vested cash or equity awards (including those for which service-based and/or performance-based vesting conditions have been satisfied), (iv) to the extent consistent with Section 409A of the Internal Revenue Code of 1986, as amended (“Section 409A”), offset of other amounts owed to the Covered Executive or forfeiture of deferred compensation, (v) reduction of future compensation, and (vi) any other remedial or recovery action permitted by law. Notwithstanding the foregoing, the Company Group makes no guarantee as to the treatment of such amounts under Section 409A, and shall have no liability with respect thereto. For the avoidance of doubt, appropriate means of recoupment may include amounts approved, awarded, or granted prior to the Effective Date. Except as set forth in Section 4(d) below, in no event may the Company Group accept an amount that is less than the amount of Erroneously Awarded Compensation in satisfaction of a Covered Executive’s obligations hereunder.</w:t>
      </w:r>
    </w:p>
    <w:p>
      <w:pPr>
        <w:spacing w:after="0" w:line="151"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Failure to Repay. </w:t>
      </w:r>
      <w:r>
        <w:rPr>
          <w:rFonts w:ascii="Times New Roman" w:cs="Times New Roman" w:eastAsia="Times New Roman" w:hAnsi="Times New Roman"/>
          <w:sz w:val="22"/>
          <w:szCs w:val="22"/>
          <w:color w:val="auto"/>
        </w:rPr>
        <w:t>To the extent that a Covered Executive fails to repay all Erroneously Awarded Compensation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Group when due (as determined in accordance with Section 4(a) above), the Company shall, or shall cause one or more other members of the Company Group to, take all actions reasonable and appropriate to recoup such Erroneously Awarded Compensation from the applicable Covered Executive. The applicable Covered Executive shall be required to reimburse the Company Group for any and all expenses reasonably incurred (including legal fees) by the Company Group in recouping such Erroneously Awarded Compensation in accordance with the immediately preceding sentence.</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Exceptions. </w:t>
      </w:r>
      <w:r>
        <w:rPr>
          <w:rFonts w:ascii="Times New Roman" w:cs="Times New Roman" w:eastAsia="Times New Roman" w:hAnsi="Times New Roman"/>
          <w:sz w:val="22"/>
          <w:szCs w:val="22"/>
          <w:color w:val="auto"/>
        </w:rPr>
        <w:t>Notwithstanding anything herein to the contrary, the Company shall not be required to recoup</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Erroneously Awarded Compensation if one of the following conditions is met and the Compensation Committee determines that recoupment would be impracticable: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against a Covered Executive would exceed the amount to be recouped, after the Company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160989091v1</w:t>
      </w:r>
    </w:p>
    <w:p>
      <w:pPr>
        <w:sectPr>
          <w:pgSz w:w="11900" w:h="16838" w:orient="portrait"/>
          <w:cols w:equalWidth="0" w:num="1">
            <w:col w:w="11240"/>
          </w:cols>
          <w:pgMar w:left="320" w:top="1395" w:right="339" w:bottom="1440" w:gutter="0" w:footer="0" w:header="0"/>
        </w:sectPr>
      </w:pPr>
    </w:p>
    <w:bookmarkStart w:id="177" w:name="page178"/>
    <w:bookmarkEnd w:id="177"/>
    <w:p>
      <w:pPr>
        <w:ind w:right="20"/>
        <w:spacing w:after="0" w:line="236" w:lineRule="auto"/>
        <w:rPr>
          <w:sz w:val="20"/>
          <w:szCs w:val="20"/>
          <w:color w:val="auto"/>
        </w:rPr>
      </w:pPr>
      <w:r>
        <w:rPr>
          <w:rFonts w:ascii="Times New Roman" w:cs="Times New Roman" w:eastAsia="Times New Roman" w:hAnsi="Times New Roman"/>
          <w:sz w:val="22"/>
          <w:szCs w:val="22"/>
          <w:color w:val="auto"/>
        </w:rPr>
        <w:t>made a reasonable attempt to recoup the applicable Erroneously Awarded Compensation, documented such attempts, and provided such documentation to the Applicable Exchange;</w:t>
      </w:r>
    </w:p>
    <w:p>
      <w:pPr>
        <w:spacing w:after="0" w:line="150" w:lineRule="exact"/>
        <w:rPr>
          <w:sz w:val="20"/>
          <w:szCs w:val="20"/>
          <w:color w:val="auto"/>
        </w:rPr>
      </w:pPr>
    </w:p>
    <w:p>
      <w:pPr>
        <w:jc w:val="both"/>
        <w:ind w:firstLine="1304"/>
        <w:spacing w:after="0" w:line="217" w:lineRule="auto"/>
        <w:tabs>
          <w:tab w:leader="none" w:pos="193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Recoupment would violate home country law where that law was adopted prior to November 28, 2022, provided that, before determining that it would be impracticable to recoup any amount of Erroneously Awarded Compensation based on violation of home country law, the Company has obtained an opinion of home country counsel, acceptable to the Applicable Exchange, that recoupment would result in such a violation and a copy of the opinion is provided to the Applicable Exchange;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Recoupment would likely cause an otherwise tax-qualified retirement plan, under which benefits are broadly available to employees, to fail to meet the requirements of 26 U.S.C. 401(a)(13) or 26 U.S.C. 411(a) and regulations thereunder.</w:t>
      </w:r>
    </w:p>
    <w:p>
      <w:pPr>
        <w:spacing w:after="0" w:line="148" w:lineRule="exact"/>
        <w:rPr>
          <w:rFonts w:ascii="Times New Roman" w:cs="Times New Roman" w:eastAsia="Times New Roman" w:hAnsi="Times New Roman"/>
          <w:sz w:val="22"/>
          <w:szCs w:val="22"/>
          <w:color w:val="auto"/>
        </w:rPr>
      </w:pPr>
    </w:p>
    <w:p>
      <w:pPr>
        <w:ind w:right="20" w:firstLine="8"/>
        <w:spacing w:after="0" w:line="238" w:lineRule="auto"/>
        <w:tabs>
          <w:tab w:leader="none" w:pos="6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and Disclosure</w:t>
      </w:r>
      <w:r>
        <w:rPr>
          <w:rFonts w:ascii="Times New Roman" w:cs="Times New Roman" w:eastAsia="Times New Roman" w:hAnsi="Times New Roman"/>
          <w:sz w:val="22"/>
          <w:szCs w:val="22"/>
          <w:color w:val="auto"/>
        </w:rPr>
        <w:t>. The Company shall file all disclosures with respect to this Policy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the Dodd-Frank Rules.</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Prohibition</w:t>
      </w:r>
      <w:r>
        <w:rPr>
          <w:rFonts w:ascii="Times New Roman" w:cs="Times New Roman" w:eastAsia="Times New Roman" w:hAnsi="Times New Roman"/>
          <w:sz w:val="22"/>
          <w:szCs w:val="22"/>
          <w:color w:val="auto"/>
        </w:rPr>
        <w:t>. No member of the Company Group shall be permitted to indemnify any current or former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Executive against (i) the loss of any Erroneously Awarded Compensation that is recouped pursuant to the terms of this Policy, or (ii) any claims relating to the Company Group’s enforcement of its rights under this Policy. The Company may not pay or reimburse any Covered Executive for the cost of third-party insurance purchased by a Covered Executive to fund potential recoupment obligations under this Policy.</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w:t>
      </w:r>
      <w:r>
        <w:rPr>
          <w:rFonts w:ascii="Times New Roman" w:cs="Times New Roman" w:eastAsia="Times New Roman" w:hAnsi="Times New Roman"/>
          <w:sz w:val="22"/>
          <w:szCs w:val="22"/>
          <w:color w:val="auto"/>
        </w:rPr>
        <w:t>t. To the extent required by the Compensation Committee, each Covered Executive shall be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sign and return to the Company the acknowledgement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pursuant to which such Covered Executive will agree to be bound by the terms of, and comply with, this Policy. For the avoidance of doubt, each Covered Executive will be fully bound by, and must comply with, the Policy, whether or not such Covered Executive has executed and returned such acknowledgment form to the Company.</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Compensation Committee is authorized to interpret and construe this Policy and to make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determinations necessary, appropriate, or advisable for the administration of this Policy. The Compensation Committee intends that this Policy be interpreted consistent with the Dodd-Frank Rules.</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Termination</w:t>
      </w:r>
      <w:r>
        <w:rPr>
          <w:rFonts w:ascii="Times New Roman" w:cs="Times New Roman" w:eastAsia="Times New Roman" w:hAnsi="Times New Roman"/>
          <w:sz w:val="22"/>
          <w:szCs w:val="22"/>
          <w:color w:val="auto"/>
        </w:rPr>
        <w:t>. The Compensation Committee may amend or terminate this Policy from time to time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including as and when it determines that it is legally required to do so by any federal securities laws, SEC rule or the rules of any national securities exchange or national securities association on which the Company’s securities are listed.</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2" w:lineRule="auto"/>
        <w:tabs>
          <w:tab w:leader="none" w:pos="64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Recoupment Rights</w:t>
      </w:r>
      <w:r>
        <w:rPr>
          <w:rFonts w:ascii="Times New Roman" w:cs="Times New Roman" w:eastAsia="Times New Roman" w:hAnsi="Times New Roman"/>
          <w:sz w:val="22"/>
          <w:szCs w:val="22"/>
          <w:color w:val="auto"/>
        </w:rPr>
        <w:t>. The Compensation Committee intends that this Policy be applied to the fullest extent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The Compensation Committee may require that any employment agreement, equity award, cash incentive award, or any other agreement entered into be conditioned upon the Covered Executive’s agreement to abide by the terms of this Policy. Any right of recoupment under this Policy is in addition to, and not in lieu of, any other remedies or rights of recoupment that may be available to the Company Group, whether arising under applicable law, regulation or rule, pursuant to the terms of any other policy of the Company Group, pursuant to any employment agreement, equity award, cash incentive award, or other agreement applicable to a Covered Executive, or otherwise (the “Separate Clawback Rights”). Notwithstanding the foregoing, there shall be no duplication of recovery of the same Erroneously Awarded Compensation under this Policy and the Separate Clawback Rights,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160989091v1</w:t>
      </w:r>
    </w:p>
    <w:p>
      <w:pPr>
        <w:sectPr>
          <w:pgSz w:w="11900" w:h="16838" w:orient="portrait"/>
          <w:cols w:equalWidth="0" w:num="1">
            <w:col w:w="11240"/>
          </w:cols>
          <w:pgMar w:left="320" w:top="1395" w:right="339" w:bottom="1440" w:gutter="0" w:footer="0" w:header="0"/>
        </w:sectPr>
      </w:pPr>
    </w:p>
    <w:bookmarkStart w:id="178" w:name="page179"/>
    <w:bookmarkEnd w:id="178"/>
    <w:p>
      <w:pPr>
        <w:ind w:firstLine="8"/>
        <w:spacing w:after="0" w:line="238" w:lineRule="auto"/>
        <w:tabs>
          <w:tab w:leader="none" w:pos="6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Policy shall be binding and enforceable against all Covered Executives and their beneficiaries,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160989091v1</w:t>
      </w:r>
    </w:p>
    <w:p>
      <w:pPr>
        <w:sectPr>
          <w:pgSz w:w="11900" w:h="16838" w:orient="portrait"/>
          <w:cols w:equalWidth="0" w:num="1">
            <w:col w:w="11240"/>
          </w:cols>
          <w:pgMar w:left="320" w:top="1391"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BURKE &amp; HERBERT FINANCIAL SERVICES CORP. CLAWBACK POLICY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17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By signing below, the undersigned employee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acknowledges and confirms that Employee has received and reviewed a copy of the Burke &amp; Herbert Financial Services Corp. Clawback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Capitalized terms used but not otherwise defined in this Acknowledgement Form (this “</w:t>
      </w:r>
      <w:r>
        <w:rPr>
          <w:rFonts w:ascii="Times New Roman" w:cs="Times New Roman" w:eastAsia="Times New Roman" w:hAnsi="Times New Roman"/>
          <w:sz w:val="22"/>
          <w:szCs w:val="22"/>
          <w:b w:val="1"/>
          <w:bCs w:val="1"/>
          <w:i w:val="1"/>
          <w:iCs w:val="1"/>
          <w:color w:val="auto"/>
        </w:rPr>
        <w:t>Acknowledgement Form</w:t>
      </w:r>
      <w:r>
        <w:rPr>
          <w:rFonts w:ascii="Times New Roman" w:cs="Times New Roman" w:eastAsia="Times New Roman" w:hAnsi="Times New Roman"/>
          <w:sz w:val="22"/>
          <w:szCs w:val="22"/>
          <w:color w:val="auto"/>
        </w:rPr>
        <w:t>”) shall have the meanings ascribed to such terms in the Policy.</w:t>
      </w:r>
    </w:p>
    <w:p>
      <w:pPr>
        <w:spacing w:after="0" w:line="15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By signing this Acknowledgement Form, Employee acknowledges and agrees that Employee is and will continue to be subject to the Policy and that the Policy will apply both during and after Employee’s employment with the Company Group. Further, by signing below, Employee agrees to abide by the terms of the Policy, including, without limitation, by returning any Erroneously Awarded Compensation to the Company Group reasonably promptly to the extent required by, and in a manner permitted by, the Policy, as determined by the Compensation Committee of the Company’s Board of Directors in its sole discretion.</w:t>
      </w:r>
    </w:p>
    <w:p>
      <w:pPr>
        <w:spacing w:after="0" w:line="15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The Employee and the Company agree that the Policy, the interpretation and enforcement thereof and all claims arising out of or relating to the Policy or the transactions contemplated by the Policy, whether sounding in tort, contract or otherwise, shall be governed solely and exclusively by, and construed in accordance with, the laws and judicial decisions of the Commonwealth of Virginia without giving effect to any choice or conflict of law provision or rule that would cause the application of the laws and judicial decisions of any jurisdiction other than the Commonwealth of Virginia. All actions and proceedings arising out of or relating to the Policy, or the transactions contemplated by the Policy, shall be heard and determined solely and exclusively in the Circuit Court for the City of Alexandria in the Commonwealth of Virginia or the Alexandria Division of the United States District Court for the Eastern District of Virginia, chosen at the option of the Company and to which the Employee has no objection. The Employee consents to personal jurisdiction in Virginia.</w:t>
      </w:r>
    </w:p>
    <w:p>
      <w:pPr>
        <w:spacing w:after="0" w:line="15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Waiver of Jury Trial</w:t>
      </w:r>
      <w:r>
        <w:rPr>
          <w:rFonts w:ascii="Times New Roman" w:cs="Times New Roman" w:eastAsia="Times New Roman" w:hAnsi="Times New Roman"/>
          <w:sz w:val="22"/>
          <w:szCs w:val="22"/>
          <w:color w:val="auto"/>
        </w:rPr>
        <w:t>. Each party hereby waives its right to a jury trial of any and all claims or cause of actions based upon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arising out of the Policy or the transactions contemplated by the Policy. Each party hereby acknowledges and agrees that this waiver of jury trial is made knowingly and voluntarily.</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EMPLOYEE</w:t>
            </w:r>
          </w:p>
        </w:tc>
        <w:tc>
          <w:tcPr>
            <w:tcW w:w="4220" w:type="dxa"/>
            <w:vAlign w:val="bottom"/>
          </w:tcPr>
          <w:p>
            <w:pPr>
              <w:spacing w:after="0"/>
              <w:rPr>
                <w:sz w:val="24"/>
                <w:szCs w:val="24"/>
                <w:color w:val="auto"/>
              </w:rPr>
            </w:pPr>
          </w:p>
        </w:tc>
        <w:tc>
          <w:tcPr>
            <w:tcW w:w="15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COMPANY</w:t>
            </w:r>
          </w:p>
        </w:tc>
      </w:tr>
      <w:tr>
        <w:trPr>
          <w:trHeight w:val="52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Sign:</w:t>
            </w:r>
          </w:p>
        </w:tc>
        <w:tc>
          <w:tcPr>
            <w:tcW w:w="4220" w:type="dxa"/>
            <w:vAlign w:val="bottom"/>
            <w:tcBorders>
              <w:bottom w:val="single" w:sz="8" w:color="auto"/>
            </w:tcBorders>
          </w:tcPr>
          <w:p>
            <w:pPr>
              <w:spacing w:after="0"/>
              <w:rPr>
                <w:sz w:val="24"/>
                <w:szCs w:val="24"/>
                <w:color w:val="auto"/>
              </w:rPr>
            </w:pPr>
          </w:p>
        </w:tc>
        <w:tc>
          <w:tcPr>
            <w:tcW w:w="1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Sign:</w:t>
            </w:r>
          </w:p>
        </w:tc>
      </w:tr>
      <w:tr>
        <w:trPr>
          <w:trHeight w:val="238"/>
        </w:trPr>
        <w:tc>
          <w:tcPr>
            <w:tcW w:w="1200" w:type="dxa"/>
            <w:vAlign w:val="bottom"/>
          </w:tcPr>
          <w:p>
            <w:pPr>
              <w:spacing w:after="0" w:line="238" w:lineRule="exact"/>
              <w:rPr>
                <w:sz w:val="20"/>
                <w:szCs w:val="20"/>
                <w:color w:val="auto"/>
              </w:rPr>
            </w:pPr>
            <w:r>
              <w:rPr>
                <w:rFonts w:ascii="Times New Roman" w:cs="Times New Roman" w:eastAsia="Times New Roman" w:hAnsi="Times New Roman"/>
                <w:sz w:val="22"/>
                <w:szCs w:val="22"/>
                <w:color w:val="auto"/>
              </w:rPr>
              <w:t>Name:</w:t>
            </w:r>
          </w:p>
        </w:tc>
        <w:tc>
          <w:tcPr>
            <w:tcW w:w="4220" w:type="dxa"/>
            <w:vAlign w:val="bottom"/>
          </w:tcPr>
          <w:p>
            <w:pPr>
              <w:spacing w:after="0"/>
              <w:rPr>
                <w:sz w:val="20"/>
                <w:szCs w:val="20"/>
                <w:color w:val="auto"/>
              </w:rPr>
            </w:pPr>
          </w:p>
        </w:tc>
        <w:tc>
          <w:tcPr>
            <w:tcW w:w="1500" w:type="dxa"/>
            <w:vAlign w:val="bottom"/>
          </w:tcPr>
          <w:p>
            <w:pPr>
              <w:ind w:left="440"/>
              <w:spacing w:after="0" w:line="238" w:lineRule="exact"/>
              <w:rPr>
                <w:sz w:val="20"/>
                <w:szCs w:val="20"/>
                <w:color w:val="auto"/>
              </w:rPr>
            </w:pPr>
            <w:r>
              <w:rPr>
                <w:rFonts w:ascii="Times New Roman" w:cs="Times New Roman" w:eastAsia="Times New Roman" w:hAnsi="Times New Roman"/>
                <w:sz w:val="22"/>
                <w:szCs w:val="22"/>
                <w:color w:val="auto"/>
              </w:rPr>
              <w:t>Name:</w:t>
            </w:r>
          </w:p>
        </w:tc>
      </w:tr>
      <w:tr>
        <w:trPr>
          <w:trHeight w:val="282"/>
        </w:trPr>
        <w:tc>
          <w:tcPr>
            <w:tcW w:w="12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Title:</w:t>
            </w:r>
          </w:p>
        </w:tc>
      </w:tr>
      <w:tr>
        <w:trPr>
          <w:trHeight w:val="52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220" w:type="dxa"/>
            <w:vAlign w:val="bottom"/>
            <w:tcBorders>
              <w:bottom w:val="single" w:sz="8" w:color="auto"/>
            </w:tcBorders>
          </w:tcPr>
          <w:p>
            <w:pPr>
              <w:spacing w:after="0"/>
              <w:rPr>
                <w:sz w:val="24"/>
                <w:szCs w:val="24"/>
                <w:color w:val="auto"/>
              </w:rPr>
            </w:pPr>
          </w:p>
        </w:tc>
        <w:tc>
          <w:tcPr>
            <w:tcW w:w="1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-7620</wp:posOffset>
            </wp:positionV>
            <wp:extent cx="26314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-685165</wp:posOffset>
            </wp:positionV>
            <wp:extent cx="26314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160989091v1</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amp;"/>
      <w:numFmt w:val="bullet"/>
      <w:start w:val="1"/>
    </w:lvl>
  </w:abstractNum>
  <w:abstractNum w:abstractNumId="5">
    <w:nsid w:val="7C3DBD3D"/>
    <w:multiLevelType w:val="hybridMultilevel"/>
    <w:lvl w:ilvl="0">
      <w:lvlJc w:val="left"/>
      <w:lvlText w:val="&amp;"/>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Roman"/>
      <w:start w:val="4"/>
    </w:lvl>
  </w:abstractNum>
  <w:abstractNum w:abstractNumId="8">
    <w:nsid w:val="22221A70"/>
    <w:multiLevelType w:val="hybridMultilevel"/>
    <w:lvl w:ilvl="0">
      <w:lvlJc w:val="left"/>
      <w:lvlText w:val="%1"/>
      <w:numFmt w:val="upperLetter"/>
      <w:start w:val="61"/>
    </w:lvl>
  </w:abstractNum>
  <w:abstractNum w:abstractNumId="9">
    <w:nsid w:val="4516DDE9"/>
    <w:multiLevelType w:val="hybridMultilevel"/>
    <w:lvl w:ilvl="0">
      <w:lvlJc w:val="left"/>
      <w:lvlText w:val="o"/>
      <w:numFmt w:val="bullet"/>
      <w:start w:val="1"/>
    </w:lvl>
    <w:lvl w:ilvl="1">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o"/>
      <w:numFmt w:val="bullet"/>
      <w:start w:val="1"/>
    </w:lvl>
    <w:lvl w:ilvl="1">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emdash "/>
      <w:numFmt w:val="bullet"/>
      <w:start w:val="1"/>
    </w:lvl>
  </w:abstractNum>
  <w:abstractNum w:abstractNumId="16">
    <w:nsid w:val="3804823E"/>
    <w:multiLevelType w:val="hybridMultilevel"/>
    <w:lvl w:ilvl="0">
      <w:lvlJc w:val="left"/>
      <w:lvlText w:val="•"/>
      <w:numFmt w:val="bullet"/>
      <w:start w:val="1"/>
    </w:lvl>
    <w:lvl w:ilvl="1">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lowerRoman"/>
      <w:start w:val="2"/>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amp;"/>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2"/>
    </w:lvl>
  </w:abstractNum>
  <w:abstractNum w:abstractNumId="29">
    <w:nsid w:val="2A487CB0"/>
    <w:multiLevelType w:val="hybridMultilevel"/>
    <w:lvl w:ilvl="0">
      <w:lvlJc w:val="left"/>
      <w:lvlText w:val="\endash "/>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2"/>
    </w:lvl>
  </w:abstractNum>
  <w:abstractNum w:abstractNumId="38">
    <w:nsid w:val="38437FDB"/>
    <w:multiLevelType w:val="hybridMultilevel"/>
    <w:lvl w:ilvl="0">
      <w:lvlJc w:val="left"/>
      <w:lvlText w:val="%1"/>
      <w:numFmt w:val="decimal"/>
      <w:start w:val="101"/>
    </w:lvl>
  </w:abstractNum>
  <w:abstractNum w:abstractNumId="39">
    <w:nsid w:val="7644A45C"/>
    <w:multiLevelType w:val="hybridMultilevel"/>
    <w:lvl w:ilvl="0">
      <w:lvlJc w:val="left"/>
      <w:lvlText w:val="%1"/>
      <w:numFmt w:val="decimal"/>
      <w:start w:val="104"/>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lvl w:ilvl="1">
      <w:lvlJc w:val="left"/>
      <w:lvlText w:val="%2)"/>
      <w:numFmt w:val="lowerLetter"/>
      <w:start w:val="1"/>
    </w:lvl>
  </w:abstractNum>
  <w:abstractNum w:abstractNumId="46">
    <w:nsid w:val="79A1DEAA"/>
    <w:multiLevelType w:val="hybridMultilevel"/>
    <w:lvl w:ilvl="0">
      <w:lvlJc w:val="left"/>
      <w:lvlText w:val="%1."/>
      <w:numFmt w:val="decimal"/>
      <w:start w:val="1"/>
    </w:lvl>
    <w:lvl w:ilvl="1">
      <w:lvlJc w:val="left"/>
      <w:lvlText w:val="%2)"/>
      <w:numFmt w:val="lowerLetter"/>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lvl w:ilvl="1">
      <w:lvlJc w:val="left"/>
      <w:lvlText w:val="(%2)"/>
      <w:numFmt w:val="lowerLetter"/>
      <w:start w:val="1"/>
    </w:lvl>
  </w:abstractNum>
  <w:abstractNum w:abstractNumId="50">
    <w:nsid w:val="520EEDD1"/>
    <w:multiLevelType w:val="hybridMultilevel"/>
    <w:lvl w:ilvl="0">
      <w:lvlJc w:val="left"/>
      <w:lvlText w:val="%1"/>
      <w:numFmt w:val="decimal"/>
      <w:start w:val="1"/>
    </w:lvl>
    <w:lvl w:ilvl="1">
      <w:lvlJc w:val="left"/>
      <w:lvlText w:val="(%2)"/>
      <w:numFmt w:val="lowerLetter"/>
      <w:start w:val="6"/>
    </w:lvl>
  </w:abstractNum>
  <w:abstractNum w:abstractNumId="51">
    <w:nsid w:val="374A3FE6"/>
    <w:multiLevelType w:val="hybridMultilevel"/>
    <w:lvl w:ilvl="0">
      <w:lvlJc w:val="left"/>
      <w:lvlText w:val="%1."/>
      <w:numFmt w:val="decimal"/>
      <w:start w:val="4"/>
    </w:lvl>
    <w:lvl w:ilvl="1">
      <w:lvlJc w:val="left"/>
      <w:lvlText w:val="%2"/>
      <w:numFmt w:val="lowerLetter"/>
      <w:start w:val="1"/>
    </w:lvl>
  </w:abstractNum>
  <w:abstractNum w:abstractNumId="52">
    <w:nsid w:val="4F4EF005"/>
    <w:multiLevelType w:val="hybridMultilevel"/>
    <w:lvl w:ilvl="0">
      <w:lvlJc w:val="left"/>
      <w:lvlText w:val="(%1)"/>
      <w:numFmt w:val="lowerLetter"/>
      <w:start w:val="1"/>
    </w:lvl>
    <w:lvl w:ilvl="1">
      <w:lvlJc w:val="left"/>
      <w:lvlText w:val="(%2)"/>
      <w:numFmt w:val="lowerRoman"/>
      <w:start w:val="1"/>
    </w:lvl>
  </w:abstractNum>
  <w:abstractNum w:abstractNumId="53">
    <w:nsid w:val="23F9C13C"/>
    <w:multiLevelType w:val="hybridMultilevel"/>
    <w:lvl w:ilvl="0">
      <w:lvlJc w:val="left"/>
      <w:lvlText w:val="%1"/>
      <w:numFmt w:val="decimal"/>
      <w:start w:val="1"/>
    </w:lvl>
    <w:lvl w:ilvl="1">
      <w:lvlJc w:val="left"/>
      <w:lvlText w:val="(%2)"/>
      <w:numFmt w:val="lowerRoman"/>
      <w:start w:val="2"/>
    </w:lvl>
  </w:abstractNum>
  <w:abstractNum w:abstractNumId="54">
    <w:nsid w:val="649BB77C"/>
    <w:multiLevelType w:val="hybridMultilevel"/>
    <w:lvl w:ilvl="0">
      <w:lvlJc w:val="left"/>
      <w:lvlText w:val="%1."/>
      <w:numFmt w:val="decimal"/>
      <w:start w:val="5"/>
    </w:lvl>
    <w:lvl w:ilvl="1">
      <w:lvlJc w:val="left"/>
      <w:lvlText w:val="%2"/>
      <w:numFmt w:val="lowerRoman"/>
      <w:start w:val="1"/>
    </w:lvl>
  </w:abstractNum>
  <w:abstractNum w:abstractNumId="55">
    <w:nsid w:val="275AC79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90"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177" Type="http://schemas.openxmlformats.org/officeDocument/2006/relationships/hyperlink" Target="https://www.sec.gov/Archives/edgar/data/1964333/000196433323000170/mergeragreement.htm" TargetMode="External"/><Relationship Id="rId178" Type="http://schemas.openxmlformats.org/officeDocument/2006/relationships/hyperlink" Target="https://www.sec.gov/Archives/edgar/data/1964333/000162828023005393/exhibit31-form10.htm" TargetMode="External"/><Relationship Id="rId179" Type="http://schemas.openxmlformats.org/officeDocument/2006/relationships/hyperlink" Target="https://www.sec.gov/Archives/edgar/data/1964333/000162828023010394/exhibit32-form10x12ba1.htm" TargetMode="External"/><Relationship Id="rId180" Type="http://schemas.openxmlformats.org/officeDocument/2006/relationships/hyperlink" Target="https://www.sec.gov/Archives/edgar/data/1964333/000162828023005393/exhibit32-form10.htm" TargetMode="External"/><Relationship Id="rId181" Type="http://schemas.openxmlformats.org/officeDocument/2006/relationships/hyperlink" Target="https://www.sec.gov/Archives/edgar/data/1964333/000162828023005393/exhibit41-form10.htm" TargetMode="External"/><Relationship Id="rId182" Type="http://schemas.openxmlformats.org/officeDocument/2006/relationships/hyperlink" Target="https://www.sec.gov/Archives/edgar/data/1964333/000162828023005393/exhibit101-form10.htm" TargetMode="External"/><Relationship Id="rId183" Type="http://schemas.openxmlformats.org/officeDocument/2006/relationships/hyperlink" Target="https://www.sec.gov/Archives/edgar/data/1964333/000162828023005393/exhibit102-form10.htm" TargetMode="External"/><Relationship Id="rId184" Type="http://schemas.openxmlformats.org/officeDocument/2006/relationships/hyperlink" Target="https://www.sec.gov/Archives/edgar/data/1964333/000162828023005393/exhibit103-form10.htm" TargetMode="External"/><Relationship Id="rId185" Type="http://schemas.openxmlformats.org/officeDocument/2006/relationships/hyperlink" Target="https://www.sec.gov/Archives/edgar/data/1964333/000162828023005393/exhibit104-form10.htm" TargetMode="External"/><Relationship Id="rId186" Type="http://schemas.openxmlformats.org/officeDocument/2006/relationships/hyperlink" Target="https://www.sec.gov/Archives/edgar/data/1964333/000162828023005393/exhibit105-form10.htm" TargetMode="External"/><Relationship Id="rId187" Type="http://schemas.openxmlformats.org/officeDocument/2006/relationships/hyperlink" Target="https://www.sec.gov/Archives/edgar/data/1964333/000162828023005393/exhibit106-form10.htm" TargetMode="External"/><Relationship Id="rId188" Type="http://schemas.openxmlformats.org/officeDocument/2006/relationships/hyperlink" Target="https://www.sec.gov/Archives/edgar/data/1964333/000162828023005393/exhibit107-form10.htm" TargetMode="External"/><Relationship Id="rId189" Type="http://schemas.openxmlformats.org/officeDocument/2006/relationships/hyperlink" Target="https://www.sec.gov/Archives/edgar/data/1964333/000162828023005393/exhibit108-form10.htm" TargetMode="External"/><Relationship Id="rId191" Type="http://schemas.openxmlformats.org/officeDocument/2006/relationships/hyperlink" Target="https://www.sec.gov/Archives/edgar/data/1964333/000162828023005393/exhibit109-form10.htm" TargetMode="External"/><Relationship Id="rId192" Type="http://schemas.openxmlformats.org/officeDocument/2006/relationships/hyperlink" Target="https://www.sec.gov/Archives/edgar/data/1964333/000196433323000133/burkeherbertfinancialservi.htm" TargetMode="External"/><Relationship Id="rId193" Type="http://schemas.openxmlformats.org/officeDocument/2006/relationships/hyperlink" Target="https://www.sec.gov/Archives/edgar/data/1964333/000196433323000133/burkeherbertfinancialservi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2024-03-22T08:17:19Z</dcterms:created>
  <dcterms:modified xsi:type="dcterms:W3CDTF">2024-03-22T08:17:19Z</dcterms:modified>
</cp:coreProperties>
</file>