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64520.xml.htm"/>
      <w:bookmarkStart w:id="1" w:name="kswkform4_17858645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Barnwell Julian Forrest Jr.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SOUTH FAIRFAX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ALEXANDRIA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22314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Burke &amp; Herbert Financial Services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BHRB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9"/>
        <w:gridCol w:w="925"/>
        <w:gridCol w:w="793"/>
        <w:gridCol w:w="614"/>
        <w:gridCol w:w="347"/>
        <w:gridCol w:w="975"/>
        <w:gridCol w:w="437"/>
        <w:gridCol w:w="605"/>
        <w:gridCol w:w="1145"/>
        <w:gridCol w:w="988"/>
        <w:gridCol w:w="12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91,361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Trustee for Barnwell Charitable Lead Trust</w:t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91,361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91,361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Trustee for J F Barnwell, Jr. Revocable Trust</w:t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27,580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84,083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Trustee for Barnwell Family Trust</w:t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208,939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Trustee for Patricia Barnwell Irrevocable Trust</w:t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Julian F Barnwell, Jr Irrevocable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August 4, 2026, the Reporting Person transferred 91,361 shares of BHRB common stock from the Barnwell Charitable Lead Trust to the J F Barnwell, Jr. Revocable Trust for no consideration.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Rucker, as Attorney-in-Fact for Julian F. Barnwell, Jr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4518" TargetMode="External"/><Relationship Id="rId5" Type="http://schemas.openxmlformats.org/officeDocument/2006/relationships/hyperlink" Target="http://www.sec.gov/cgi-bin/browse-edgar?action=getcompany&amp;CIK=00019643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659</Words>
  <Characters>3563</Characters>
  <CharactersWithSpaces>4130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