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160" w:type="dxa"/>
            <w:vAlign w:val="bottom"/>
          </w:tcPr>
          <w:p>
            <w:pPr>
              <w:ind w:left="7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6931025</wp:posOffset>
            </wp:positionH>
            <wp:positionV relativeFrom="paragraph">
              <wp:posOffset>-503555</wp:posOffset>
            </wp:positionV>
            <wp:extent cx="51435" cy="516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5613400</wp:posOffset>
            </wp:positionH>
            <wp:positionV relativeFrom="paragraph">
              <wp:posOffset>-503555</wp:posOffset>
            </wp:positionV>
            <wp:extent cx="51435" cy="516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19050</wp:posOffset>
            </wp:positionV>
            <wp:extent cx="7019925" cy="2785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278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8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Parikh Kirtan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Burke &amp; Herbert Financial Services Corp.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BHRB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900" w:hanging="1"/>
        <w:spacing w:after="0" w:line="269" w:lineRule="auto"/>
        <w:tabs>
          <w:tab w:leader="none" w:pos="116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EVP, 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08" w:hanging="108"/>
        <w:spacing w:after="0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08" w:hanging="108"/>
        <w:spacing w:after="0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9" w:space="720"/>
            <w:col w:w="3081" w:space="212"/>
            <w:col w:w="2728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1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6,853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Matthew Rucker, as Attorney-in-Fact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for Kirtan Parikh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20" w:hanging="6"/>
        <w:spacing w:after="0" w:line="323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298450</wp:posOffset>
            </wp:positionV>
            <wp:extent cx="6944995" cy="908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8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416560</wp:posOffset>
            </wp:positionV>
            <wp:extent cx="6944995" cy="908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8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416560</wp:posOffset>
            </wp:positionV>
            <wp:extent cx="6944995" cy="9075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7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964474" TargetMode="External"/><Relationship Id="rId12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2026-07-01T08:00:05Z</dcterms:created>
  <dcterms:modified xsi:type="dcterms:W3CDTF">2026-07-01T08:00:05Z</dcterms:modified>
</cp:coreProperties>
</file>