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May 22, 2025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Burke &amp; Herbert Financial Services Corp.</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001-41633</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92-0289417</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4"/>
          <w:szCs w:val="24"/>
          <w:color w:val="auto"/>
        </w:rPr>
      </w:pPr>
    </w:p>
    <w:p>
      <w:pPr>
        <w:sectPr>
          <w:pgSz w:w="11900" w:h="16838" w:orient="portrait"/>
          <w:cols w:equalWidth="0" w:num="3">
            <w:col w:w="3840" w:space="720"/>
            <w:col w:w="2520" w:space="720"/>
            <w:col w:w="3440"/>
          </w:cols>
          <w:pgMar w:left="320" w:top="1245"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100 S. Fairfax Street</w:t>
      </w:r>
    </w:p>
    <w:p>
      <w:pPr>
        <w:spacing w:after="0" w:line="31"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Alexandria, VA 22314</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(703) 666-3555</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type w:val="continuous"/>
        </w:sectPr>
      </w:pPr>
    </w:p>
    <w:p>
      <w:pPr>
        <w:spacing w:after="0" w:line="198"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344"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4"/>
          <w:szCs w:val="24"/>
          <w:color w:val="auto"/>
        </w:rPr>
      </w:pPr>
    </w:p>
    <w:tbl>
      <w:tblPr>
        <w:tblLayout w:type="fixed"/>
        <w:tblInd w:w="66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780" w:type="dxa"/>
            <w:vAlign w:val="bottom"/>
            <w:gridSpan w:val="5"/>
          </w:tcPr>
          <w:p>
            <w:pPr>
              <w:jc w:val="center"/>
              <w:ind w:right="297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229"/>
        </w:trPr>
        <w:tc>
          <w:tcPr>
            <w:tcW w:w="540" w:type="dxa"/>
            <w:vAlign w:val="bottom"/>
          </w:tcPr>
          <w:p>
            <w:pPr>
              <w:spacing w:after="0"/>
              <w:rPr>
                <w:sz w:val="19"/>
                <w:szCs w:val="19"/>
                <w:color w:val="auto"/>
              </w:rPr>
            </w:pPr>
          </w:p>
        </w:tc>
        <w:tc>
          <w:tcPr>
            <w:tcW w:w="206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720" w:type="dxa"/>
            <w:vAlign w:val="bottom"/>
          </w:tcPr>
          <w:p>
            <w:pPr>
              <w:spacing w:after="0"/>
              <w:rPr>
                <w:sz w:val="19"/>
                <w:szCs w:val="19"/>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408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5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26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Common stock, par value $0.50</w:t>
            </w:r>
          </w:p>
        </w:tc>
        <w:tc>
          <w:tcPr>
            <w:tcW w:w="172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7"/>
              </w:rPr>
              <w:t>BHRB</w:t>
            </w:r>
          </w:p>
        </w:tc>
        <w:tc>
          <w:tcPr>
            <w:tcW w:w="7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4"/>
          <w:szCs w:val="24"/>
          <w:color w:val="auto"/>
        </w:rPr>
      </w:pPr>
    </w:p>
    <w:p>
      <w:pPr>
        <w:ind w:right="1620"/>
        <w:spacing w:after="0" w:line="295"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highlight w:val="black"/>
        </w:rPr>
        <w:t>☒</w:t>
      </w:r>
    </w:p>
    <w:p>
      <w:pPr>
        <w:spacing w:after="0" w:line="45" w:lineRule="exact"/>
        <w:rPr>
          <w:sz w:val="24"/>
          <w:szCs w:val="24"/>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5.07 - Submission of Matters to a Vote of Security Holders</w:t>
      </w:r>
    </w:p>
    <w:p>
      <w:pPr>
        <w:spacing w:after="0" w:line="2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held its Annual Meeting on May 22, 2025. At the Annual Meeting, the Company’s shareholders considered and voted on the two proposals set forth below, each of which is described in greater detail in the Proxy Statement. At the close of business on March 14, 2025, the record date for the Annual Meeting, there were 14,982,807 shares of the Company’s voting common stock outstanding. At the meeting there were 10,797,474 shares of the Company’s voting common stock represented in person or by proxy, constituting a quorum.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results from the Annual Meeting as to the proposals presented to the shareholders were as follows:</w:t>
      </w:r>
    </w:p>
    <w:p>
      <w:pPr>
        <w:spacing w:after="0" w:line="2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1: Election of Directors. </w:t>
      </w:r>
      <w:r>
        <w:rPr>
          <w:rFonts w:ascii="Times New Roman" w:cs="Times New Roman" w:eastAsia="Times New Roman" w:hAnsi="Times New Roman"/>
          <w:sz w:val="18"/>
          <w:szCs w:val="18"/>
          <w:color w:val="auto"/>
        </w:rPr>
        <w:t>The Company’s shareholders elected fifteen directors to each serve a one-year term expiring in 2026. The voting results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960" w:type="dxa"/>
            <w:vAlign w:val="bottom"/>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20" w:type="dxa"/>
            <w:vAlign w:val="bottom"/>
          </w:tcPr>
          <w:p>
            <w:pPr>
              <w:spacing w:after="0"/>
              <w:rPr>
                <w:sz w:val="18"/>
                <w:szCs w:val="18"/>
                <w:color w:val="auto"/>
              </w:rPr>
            </w:pPr>
          </w:p>
        </w:tc>
      </w:tr>
      <w:tr>
        <w:trPr>
          <w:trHeight w:val="33"/>
        </w:trPr>
        <w:tc>
          <w:tcPr>
            <w:tcW w:w="2920" w:type="dxa"/>
            <w:vAlign w:val="bottom"/>
            <w:gridSpan w:val="2"/>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17"/>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Director</w:t>
            </w: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Votes For</w:t>
            </w:r>
          </w:p>
        </w:tc>
        <w:tc>
          <w:tcPr>
            <w:tcW w:w="1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Votes Against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Votes Abstained</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Broker Non Votes</w:t>
            </w:r>
          </w:p>
        </w:tc>
      </w:tr>
      <w:tr>
        <w:trPr>
          <w:trHeight w:val="33"/>
        </w:trPr>
        <w:tc>
          <w:tcPr>
            <w:tcW w:w="2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90"/>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 G. Anderson</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7,363,258</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71,287</w:t>
            </w:r>
          </w:p>
        </w:tc>
        <w:tc>
          <w:tcPr>
            <w:tcW w:w="2880" w:type="dxa"/>
            <w:vAlign w:val="bottom"/>
            <w:tcBorders>
              <w:bottom w:val="single" w:sz="8" w:color="CCEEFF"/>
            </w:tcBorders>
            <w:gridSpan w:val="3"/>
            <w:shd w:val="clear" w:color="auto" w:fill="CCEEFF"/>
          </w:tcPr>
          <w:p>
            <w:pPr>
              <w:ind w:left="880"/>
              <w:spacing w:after="0"/>
              <w:rPr>
                <w:sz w:val="20"/>
                <w:szCs w:val="20"/>
                <w:color w:val="auto"/>
              </w:rPr>
            </w:pPr>
            <w:r>
              <w:rPr>
                <w:rFonts w:ascii="Times New Roman" w:cs="Times New Roman" w:eastAsia="Times New Roman" w:hAnsi="Times New Roman"/>
                <w:sz w:val="20"/>
                <w:szCs w:val="20"/>
                <w:color w:val="auto"/>
              </w:rPr>
              <w:t>48,900</w:t>
            </w:r>
          </w:p>
        </w:tc>
        <w:tc>
          <w:tcPr>
            <w:tcW w:w="8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3,314,029</w:t>
            </w:r>
          </w:p>
        </w:tc>
      </w:tr>
      <w:tr>
        <w:trPr>
          <w:trHeight w:val="27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Julian F. Barnwell, Jr.</w:t>
            </w:r>
          </w:p>
        </w:tc>
        <w:tc>
          <w:tcPr>
            <w:tcW w:w="2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7,360,761</w:t>
            </w:r>
          </w:p>
        </w:tc>
        <w:tc>
          <w:tcPr>
            <w:tcW w:w="100" w:type="dxa"/>
            <w:vAlign w:val="bottom"/>
          </w:tcPr>
          <w:p>
            <w:pPr>
              <w:spacing w:after="0"/>
              <w:rPr>
                <w:sz w:val="23"/>
                <w:szCs w:val="23"/>
                <w:color w:val="auto"/>
              </w:rPr>
            </w:pPr>
          </w:p>
        </w:tc>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80,866</w:t>
            </w:r>
          </w:p>
        </w:tc>
        <w:tc>
          <w:tcPr>
            <w:tcW w:w="7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41,818</w:t>
            </w:r>
          </w:p>
        </w:tc>
        <w:tc>
          <w:tcPr>
            <w:tcW w:w="80" w:type="dxa"/>
            <w:vAlign w:val="bottom"/>
          </w:tcPr>
          <w:p>
            <w:pPr>
              <w:spacing w:after="0"/>
              <w:rPr>
                <w:sz w:val="23"/>
                <w:szCs w:val="23"/>
                <w:color w:val="auto"/>
              </w:rPr>
            </w:pPr>
          </w:p>
        </w:tc>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3,314,029</w:t>
            </w:r>
          </w:p>
        </w:tc>
      </w:tr>
      <w:tr>
        <w:trPr>
          <w:trHeight w:val="21"/>
        </w:trPr>
        <w:tc>
          <w:tcPr>
            <w:tcW w:w="2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90"/>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Oscar M. Bean</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7,370,920</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80,112</w:t>
            </w:r>
          </w:p>
        </w:tc>
        <w:tc>
          <w:tcPr>
            <w:tcW w:w="2880" w:type="dxa"/>
            <w:vAlign w:val="bottom"/>
            <w:tcBorders>
              <w:bottom w:val="single" w:sz="8" w:color="CCEEFF"/>
            </w:tcBorders>
            <w:gridSpan w:val="3"/>
            <w:shd w:val="clear" w:color="auto" w:fill="CCEEFF"/>
          </w:tcPr>
          <w:p>
            <w:pPr>
              <w:ind w:left="880"/>
              <w:spacing w:after="0"/>
              <w:rPr>
                <w:sz w:val="20"/>
                <w:szCs w:val="20"/>
                <w:color w:val="auto"/>
              </w:rPr>
            </w:pPr>
            <w:r>
              <w:rPr>
                <w:rFonts w:ascii="Times New Roman" w:cs="Times New Roman" w:eastAsia="Times New Roman" w:hAnsi="Times New Roman"/>
                <w:sz w:val="20"/>
                <w:szCs w:val="20"/>
                <w:color w:val="auto"/>
              </w:rPr>
              <w:t>32,413</w:t>
            </w:r>
          </w:p>
        </w:tc>
        <w:tc>
          <w:tcPr>
            <w:tcW w:w="8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3,314,029</w:t>
            </w:r>
          </w:p>
        </w:tc>
      </w:tr>
      <w:tr>
        <w:trPr>
          <w:trHeight w:val="27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Katherine D. Bonnafé</w:t>
            </w:r>
          </w:p>
        </w:tc>
        <w:tc>
          <w:tcPr>
            <w:tcW w:w="2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7,314,466</w:t>
            </w:r>
          </w:p>
        </w:tc>
        <w:tc>
          <w:tcPr>
            <w:tcW w:w="100" w:type="dxa"/>
            <w:vAlign w:val="bottom"/>
          </w:tcPr>
          <w:p>
            <w:pPr>
              <w:spacing w:after="0"/>
              <w:rPr>
                <w:sz w:val="23"/>
                <w:szCs w:val="23"/>
                <w:color w:val="auto"/>
              </w:rPr>
            </w:pPr>
          </w:p>
        </w:tc>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125,012</w:t>
            </w:r>
          </w:p>
        </w:tc>
        <w:tc>
          <w:tcPr>
            <w:tcW w:w="7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43,967</w:t>
            </w:r>
          </w:p>
        </w:tc>
        <w:tc>
          <w:tcPr>
            <w:tcW w:w="80" w:type="dxa"/>
            <w:vAlign w:val="bottom"/>
          </w:tcPr>
          <w:p>
            <w:pPr>
              <w:spacing w:after="0"/>
              <w:rPr>
                <w:sz w:val="23"/>
                <w:szCs w:val="23"/>
                <w:color w:val="auto"/>
              </w:rPr>
            </w:pPr>
          </w:p>
        </w:tc>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3,314,029</w:t>
            </w:r>
          </w:p>
        </w:tc>
      </w:tr>
      <w:tr>
        <w:trPr>
          <w:trHeight w:val="21"/>
        </w:trPr>
        <w:tc>
          <w:tcPr>
            <w:tcW w:w="2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91"/>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David P. Boyle</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7,342,344</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116,458</w:t>
            </w:r>
          </w:p>
        </w:tc>
        <w:tc>
          <w:tcPr>
            <w:tcW w:w="2880" w:type="dxa"/>
            <w:vAlign w:val="bottom"/>
            <w:tcBorders>
              <w:bottom w:val="single" w:sz="8" w:color="CCEEFF"/>
            </w:tcBorders>
            <w:gridSpan w:val="3"/>
            <w:shd w:val="clear" w:color="auto" w:fill="CCEEFF"/>
          </w:tcPr>
          <w:p>
            <w:pPr>
              <w:ind w:left="880"/>
              <w:spacing w:after="0"/>
              <w:rPr>
                <w:sz w:val="20"/>
                <w:szCs w:val="20"/>
                <w:color w:val="auto"/>
              </w:rPr>
            </w:pPr>
            <w:r>
              <w:rPr>
                <w:rFonts w:ascii="Times New Roman" w:cs="Times New Roman" w:eastAsia="Times New Roman" w:hAnsi="Times New Roman"/>
                <w:sz w:val="20"/>
                <w:szCs w:val="20"/>
                <w:color w:val="auto"/>
              </w:rPr>
              <w:t>24,643</w:t>
            </w:r>
          </w:p>
        </w:tc>
        <w:tc>
          <w:tcPr>
            <w:tcW w:w="8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3,314,029</w:t>
            </w:r>
          </w:p>
        </w:tc>
      </w:tr>
      <w:tr>
        <w:trPr>
          <w:trHeight w:val="269"/>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James M. Burke</w:t>
            </w:r>
          </w:p>
        </w:tc>
        <w:tc>
          <w:tcPr>
            <w:tcW w:w="2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7,388,375</w:t>
            </w:r>
          </w:p>
        </w:tc>
        <w:tc>
          <w:tcPr>
            <w:tcW w:w="100" w:type="dxa"/>
            <w:vAlign w:val="bottom"/>
          </w:tcPr>
          <w:p>
            <w:pPr>
              <w:spacing w:after="0"/>
              <w:rPr>
                <w:sz w:val="23"/>
                <w:szCs w:val="23"/>
                <w:color w:val="auto"/>
              </w:rPr>
            </w:pPr>
          </w:p>
        </w:tc>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70,919</w:t>
            </w:r>
          </w:p>
        </w:tc>
        <w:tc>
          <w:tcPr>
            <w:tcW w:w="7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24,151</w:t>
            </w:r>
          </w:p>
        </w:tc>
        <w:tc>
          <w:tcPr>
            <w:tcW w:w="80" w:type="dxa"/>
            <w:vAlign w:val="bottom"/>
          </w:tcPr>
          <w:p>
            <w:pPr>
              <w:spacing w:after="0"/>
              <w:rPr>
                <w:sz w:val="23"/>
                <w:szCs w:val="23"/>
                <w:color w:val="auto"/>
              </w:rPr>
            </w:pPr>
          </w:p>
        </w:tc>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3,314,029</w:t>
            </w:r>
          </w:p>
        </w:tc>
      </w:tr>
      <w:tr>
        <w:trPr>
          <w:trHeight w:val="21"/>
        </w:trPr>
        <w:tc>
          <w:tcPr>
            <w:tcW w:w="2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91"/>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James P. Geary, II</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7,314,407</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136,774</w:t>
            </w:r>
          </w:p>
        </w:tc>
        <w:tc>
          <w:tcPr>
            <w:tcW w:w="2880" w:type="dxa"/>
            <w:vAlign w:val="bottom"/>
            <w:tcBorders>
              <w:bottom w:val="single" w:sz="8" w:color="CCEEFF"/>
            </w:tcBorders>
            <w:gridSpan w:val="3"/>
            <w:shd w:val="clear" w:color="auto" w:fill="CCEEFF"/>
          </w:tcPr>
          <w:p>
            <w:pPr>
              <w:ind w:left="880"/>
              <w:spacing w:after="0"/>
              <w:rPr>
                <w:sz w:val="20"/>
                <w:szCs w:val="20"/>
                <w:color w:val="auto"/>
              </w:rPr>
            </w:pPr>
            <w:r>
              <w:rPr>
                <w:rFonts w:ascii="Times New Roman" w:cs="Times New Roman" w:eastAsia="Times New Roman" w:hAnsi="Times New Roman"/>
                <w:sz w:val="20"/>
                <w:szCs w:val="20"/>
                <w:color w:val="auto"/>
              </w:rPr>
              <w:t>32,264</w:t>
            </w:r>
          </w:p>
        </w:tc>
        <w:tc>
          <w:tcPr>
            <w:tcW w:w="8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3,314,029</w:t>
            </w:r>
          </w:p>
        </w:tc>
      </w:tr>
      <w:tr>
        <w:trPr>
          <w:trHeight w:val="269"/>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Georgette R. George</w:t>
            </w:r>
          </w:p>
        </w:tc>
        <w:tc>
          <w:tcPr>
            <w:tcW w:w="2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7,200,493</w:t>
            </w:r>
          </w:p>
        </w:tc>
        <w:tc>
          <w:tcPr>
            <w:tcW w:w="100" w:type="dxa"/>
            <w:vAlign w:val="bottom"/>
          </w:tcPr>
          <w:p>
            <w:pPr>
              <w:spacing w:after="0"/>
              <w:rPr>
                <w:sz w:val="23"/>
                <w:szCs w:val="23"/>
                <w:color w:val="auto"/>
              </w:rPr>
            </w:pPr>
          </w:p>
        </w:tc>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258,588</w:t>
            </w:r>
          </w:p>
        </w:tc>
        <w:tc>
          <w:tcPr>
            <w:tcW w:w="7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24,364</w:t>
            </w:r>
          </w:p>
        </w:tc>
        <w:tc>
          <w:tcPr>
            <w:tcW w:w="80" w:type="dxa"/>
            <w:vAlign w:val="bottom"/>
          </w:tcPr>
          <w:p>
            <w:pPr>
              <w:spacing w:after="0"/>
              <w:rPr>
                <w:sz w:val="23"/>
                <w:szCs w:val="23"/>
                <w:color w:val="auto"/>
              </w:rPr>
            </w:pPr>
          </w:p>
        </w:tc>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3,314,029</w:t>
            </w:r>
          </w:p>
        </w:tc>
      </w:tr>
      <w:tr>
        <w:trPr>
          <w:trHeight w:val="21"/>
        </w:trPr>
        <w:tc>
          <w:tcPr>
            <w:tcW w:w="2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90"/>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Gary L. Hinkle</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7,374,092</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76,680</w:t>
            </w:r>
          </w:p>
        </w:tc>
        <w:tc>
          <w:tcPr>
            <w:tcW w:w="2880" w:type="dxa"/>
            <w:vAlign w:val="bottom"/>
            <w:tcBorders>
              <w:bottom w:val="single" w:sz="8" w:color="CCEEFF"/>
            </w:tcBorders>
            <w:gridSpan w:val="3"/>
            <w:shd w:val="clear" w:color="auto" w:fill="CCEEFF"/>
          </w:tcPr>
          <w:p>
            <w:pPr>
              <w:ind w:left="880"/>
              <w:spacing w:after="0"/>
              <w:rPr>
                <w:sz w:val="20"/>
                <w:szCs w:val="20"/>
                <w:color w:val="auto"/>
              </w:rPr>
            </w:pPr>
            <w:r>
              <w:rPr>
                <w:rFonts w:ascii="Times New Roman" w:cs="Times New Roman" w:eastAsia="Times New Roman" w:hAnsi="Times New Roman"/>
                <w:sz w:val="20"/>
                <w:szCs w:val="20"/>
                <w:color w:val="auto"/>
              </w:rPr>
              <w:t>32,673</w:t>
            </w:r>
          </w:p>
        </w:tc>
        <w:tc>
          <w:tcPr>
            <w:tcW w:w="8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3,314,029</w:t>
            </w:r>
          </w:p>
        </w:tc>
      </w:tr>
      <w:tr>
        <w:trPr>
          <w:trHeight w:val="27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 Laing Hinson</w:t>
            </w:r>
          </w:p>
        </w:tc>
        <w:tc>
          <w:tcPr>
            <w:tcW w:w="2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7,204,987</w:t>
            </w:r>
          </w:p>
        </w:tc>
        <w:tc>
          <w:tcPr>
            <w:tcW w:w="100" w:type="dxa"/>
            <w:vAlign w:val="bottom"/>
          </w:tcPr>
          <w:p>
            <w:pPr>
              <w:spacing w:after="0"/>
              <w:rPr>
                <w:sz w:val="23"/>
                <w:szCs w:val="23"/>
                <w:color w:val="auto"/>
              </w:rPr>
            </w:pPr>
          </w:p>
        </w:tc>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236,789</w:t>
            </w:r>
          </w:p>
        </w:tc>
        <w:tc>
          <w:tcPr>
            <w:tcW w:w="7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41,669</w:t>
            </w:r>
          </w:p>
        </w:tc>
        <w:tc>
          <w:tcPr>
            <w:tcW w:w="80" w:type="dxa"/>
            <w:vAlign w:val="bottom"/>
          </w:tcPr>
          <w:p>
            <w:pPr>
              <w:spacing w:after="0"/>
              <w:rPr>
                <w:sz w:val="23"/>
                <w:szCs w:val="23"/>
                <w:color w:val="auto"/>
              </w:rPr>
            </w:pPr>
          </w:p>
        </w:tc>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3,314,029</w:t>
            </w:r>
          </w:p>
        </w:tc>
      </w:tr>
      <w:tr>
        <w:trPr>
          <w:trHeight w:val="21"/>
        </w:trPr>
        <w:tc>
          <w:tcPr>
            <w:tcW w:w="2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90"/>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 Charles Maddy, III</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7,311,378</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139,827</w:t>
            </w:r>
          </w:p>
        </w:tc>
        <w:tc>
          <w:tcPr>
            <w:tcW w:w="2880" w:type="dxa"/>
            <w:vAlign w:val="bottom"/>
            <w:tcBorders>
              <w:bottom w:val="single" w:sz="8" w:color="CCEEFF"/>
            </w:tcBorders>
            <w:gridSpan w:val="3"/>
            <w:shd w:val="clear" w:color="auto" w:fill="CCEEFF"/>
          </w:tcPr>
          <w:p>
            <w:pPr>
              <w:ind w:left="880"/>
              <w:spacing w:after="0"/>
              <w:rPr>
                <w:sz w:val="20"/>
                <w:szCs w:val="20"/>
                <w:color w:val="auto"/>
              </w:rPr>
            </w:pPr>
            <w:r>
              <w:rPr>
                <w:rFonts w:ascii="Times New Roman" w:cs="Times New Roman" w:eastAsia="Times New Roman" w:hAnsi="Times New Roman"/>
                <w:sz w:val="20"/>
                <w:szCs w:val="20"/>
                <w:color w:val="auto"/>
              </w:rPr>
              <w:t>32,240</w:t>
            </w:r>
          </w:p>
        </w:tc>
        <w:tc>
          <w:tcPr>
            <w:tcW w:w="8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3,314,029</w:t>
            </w:r>
          </w:p>
        </w:tc>
      </w:tr>
      <w:tr>
        <w:trPr>
          <w:trHeight w:val="27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Shawn P. McLaughlin</w:t>
            </w:r>
          </w:p>
        </w:tc>
        <w:tc>
          <w:tcPr>
            <w:tcW w:w="2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7,331,520</w:t>
            </w:r>
          </w:p>
        </w:tc>
        <w:tc>
          <w:tcPr>
            <w:tcW w:w="100" w:type="dxa"/>
            <w:vAlign w:val="bottom"/>
          </w:tcPr>
          <w:p>
            <w:pPr>
              <w:spacing w:after="0"/>
              <w:rPr>
                <w:sz w:val="23"/>
                <w:szCs w:val="23"/>
                <w:color w:val="auto"/>
              </w:rPr>
            </w:pPr>
          </w:p>
        </w:tc>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110,545</w:t>
            </w:r>
          </w:p>
        </w:tc>
        <w:tc>
          <w:tcPr>
            <w:tcW w:w="7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41,380</w:t>
            </w:r>
          </w:p>
        </w:tc>
        <w:tc>
          <w:tcPr>
            <w:tcW w:w="80" w:type="dxa"/>
            <w:vAlign w:val="bottom"/>
          </w:tcPr>
          <w:p>
            <w:pPr>
              <w:spacing w:after="0"/>
              <w:rPr>
                <w:sz w:val="23"/>
                <w:szCs w:val="23"/>
                <w:color w:val="auto"/>
              </w:rPr>
            </w:pPr>
          </w:p>
        </w:tc>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3,314,029</w:t>
            </w:r>
          </w:p>
        </w:tc>
      </w:tr>
      <w:tr>
        <w:trPr>
          <w:trHeight w:val="21"/>
        </w:trPr>
        <w:tc>
          <w:tcPr>
            <w:tcW w:w="2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90"/>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Charles S. Piccirillo</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7,331,275</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119,766</w:t>
            </w:r>
          </w:p>
        </w:tc>
        <w:tc>
          <w:tcPr>
            <w:tcW w:w="2880" w:type="dxa"/>
            <w:vAlign w:val="bottom"/>
            <w:tcBorders>
              <w:bottom w:val="single" w:sz="8" w:color="CCEEFF"/>
            </w:tcBorders>
            <w:gridSpan w:val="3"/>
            <w:shd w:val="clear" w:color="auto" w:fill="CCEEFF"/>
          </w:tcPr>
          <w:p>
            <w:pPr>
              <w:ind w:left="880"/>
              <w:spacing w:after="0"/>
              <w:rPr>
                <w:sz w:val="20"/>
                <w:szCs w:val="20"/>
                <w:color w:val="auto"/>
              </w:rPr>
            </w:pPr>
            <w:r>
              <w:rPr>
                <w:rFonts w:ascii="Times New Roman" w:cs="Times New Roman" w:eastAsia="Times New Roman" w:hAnsi="Times New Roman"/>
                <w:sz w:val="20"/>
                <w:szCs w:val="20"/>
                <w:color w:val="auto"/>
              </w:rPr>
              <w:t>32,404</w:t>
            </w:r>
          </w:p>
        </w:tc>
        <w:tc>
          <w:tcPr>
            <w:tcW w:w="8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3,314,029</w:t>
            </w:r>
          </w:p>
        </w:tc>
      </w:tr>
      <w:tr>
        <w:trPr>
          <w:trHeight w:val="27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Jose D. Riojas</w:t>
            </w:r>
          </w:p>
        </w:tc>
        <w:tc>
          <w:tcPr>
            <w:tcW w:w="2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7,323,284</w:t>
            </w:r>
          </w:p>
        </w:tc>
        <w:tc>
          <w:tcPr>
            <w:tcW w:w="100" w:type="dxa"/>
            <w:vAlign w:val="bottom"/>
          </w:tcPr>
          <w:p>
            <w:pPr>
              <w:spacing w:after="0"/>
              <w:rPr>
                <w:sz w:val="23"/>
                <w:szCs w:val="23"/>
                <w:color w:val="auto"/>
              </w:rPr>
            </w:pPr>
          </w:p>
        </w:tc>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115,496</w:t>
            </w:r>
          </w:p>
        </w:tc>
        <w:tc>
          <w:tcPr>
            <w:tcW w:w="7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44,665</w:t>
            </w:r>
          </w:p>
        </w:tc>
        <w:tc>
          <w:tcPr>
            <w:tcW w:w="80" w:type="dxa"/>
            <w:vAlign w:val="bottom"/>
          </w:tcPr>
          <w:p>
            <w:pPr>
              <w:spacing w:after="0"/>
              <w:rPr>
                <w:sz w:val="23"/>
                <w:szCs w:val="23"/>
                <w:color w:val="auto"/>
              </w:rPr>
            </w:pPr>
          </w:p>
        </w:tc>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3,314,029</w:t>
            </w:r>
          </w:p>
        </w:tc>
      </w:tr>
      <w:tr>
        <w:trPr>
          <w:trHeight w:val="21"/>
        </w:trPr>
        <w:tc>
          <w:tcPr>
            <w:tcW w:w="2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70"/>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Jill S. Upson</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7,356,035</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102,351</w:t>
            </w:r>
          </w:p>
        </w:tc>
        <w:tc>
          <w:tcPr>
            <w:tcW w:w="2880" w:type="dxa"/>
            <w:vAlign w:val="bottom"/>
            <w:tcBorders>
              <w:bottom w:val="single" w:sz="8" w:color="CCEEFF"/>
            </w:tcBorders>
            <w:gridSpan w:val="3"/>
            <w:shd w:val="clear" w:color="auto" w:fill="CCEEFF"/>
          </w:tcPr>
          <w:p>
            <w:pPr>
              <w:ind w:left="880"/>
              <w:spacing w:after="0"/>
              <w:rPr>
                <w:sz w:val="20"/>
                <w:szCs w:val="20"/>
                <w:color w:val="auto"/>
              </w:rPr>
            </w:pPr>
            <w:r>
              <w:rPr>
                <w:rFonts w:ascii="Times New Roman" w:cs="Times New Roman" w:eastAsia="Times New Roman" w:hAnsi="Times New Roman"/>
                <w:sz w:val="20"/>
                <w:szCs w:val="20"/>
                <w:color w:val="auto"/>
              </w:rPr>
              <w:t>25,059</w:t>
            </w:r>
          </w:p>
        </w:tc>
        <w:tc>
          <w:tcPr>
            <w:tcW w:w="8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3,314,029</w:t>
            </w: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2: Ratification of Appointment of Independent Registered Public Accounting Firm. </w:t>
      </w:r>
      <w:r>
        <w:rPr>
          <w:rFonts w:ascii="Times New Roman" w:cs="Times New Roman" w:eastAsia="Times New Roman" w:hAnsi="Times New Roman"/>
          <w:sz w:val="18"/>
          <w:szCs w:val="18"/>
          <w:color w:val="auto"/>
        </w:rPr>
        <w:t>The Company’s shareholders ratified the appointment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Crowe LLP as the Company’s independent registered public accounting firm for the year ending December 31, 2025. The voting results were as follows: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Votes For</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Votes Against</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Votes Abstained</w:t>
            </w:r>
          </w:p>
        </w:tc>
        <w:tc>
          <w:tcPr>
            <w:tcW w:w="2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Broker Non Votes</w:t>
            </w:r>
          </w:p>
        </w:tc>
      </w:tr>
      <w:tr>
        <w:trPr>
          <w:trHeight w:val="33"/>
        </w:trPr>
        <w:tc>
          <w:tcPr>
            <w:tcW w:w="2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10,729,761</w:t>
            </w:r>
          </w:p>
        </w:tc>
        <w:tc>
          <w:tcPr>
            <w:tcW w:w="80" w:type="dxa"/>
            <w:vAlign w:val="bottom"/>
            <w:tcBorders>
              <w:bottom w:val="single" w:sz="8" w:color="CCEEFF"/>
            </w:tcBorders>
            <w:shd w:val="clear" w:color="auto" w:fill="CCEEFF"/>
          </w:tcPr>
          <w:p>
            <w:pPr>
              <w:spacing w:after="0"/>
              <w:rPr>
                <w:sz w:val="23"/>
                <w:szCs w:val="23"/>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36,354</w:t>
            </w:r>
          </w:p>
        </w:tc>
        <w:tc>
          <w:tcPr>
            <w:tcW w:w="100" w:type="dxa"/>
            <w:vAlign w:val="bottom"/>
            <w:tcBorders>
              <w:bottom w:val="single" w:sz="8" w:color="CCEEFF"/>
            </w:tcBorders>
            <w:shd w:val="clear" w:color="auto" w:fill="CCEEFF"/>
          </w:tcPr>
          <w:p>
            <w:pPr>
              <w:spacing w:after="0"/>
              <w:rPr>
                <w:sz w:val="23"/>
                <w:szCs w:val="23"/>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31,359</w:t>
            </w:r>
          </w:p>
        </w:tc>
        <w:tc>
          <w:tcPr>
            <w:tcW w:w="100" w:type="dxa"/>
            <w:vAlign w:val="bottom"/>
            <w:tcBorders>
              <w:bottom w:val="single" w:sz="8" w:color="CCEEFF"/>
            </w:tcBorders>
            <w:shd w:val="clear" w:color="auto" w:fill="CCEEFF"/>
          </w:tcPr>
          <w:p>
            <w:pPr>
              <w:spacing w:after="0"/>
              <w:rPr>
                <w:sz w:val="23"/>
                <w:szCs w:val="23"/>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2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 Financial Statements and Exhibits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The following exhibits are being filed herewith:</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60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61"/>
        </w:trPr>
        <w:tc>
          <w:tcPr>
            <w:tcW w:w="60" w:type="dxa"/>
            <w:vAlign w:val="bottom"/>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7620" w:type="dxa"/>
            <w:vAlign w:val="bottom"/>
          </w:tcPr>
          <w:p>
            <w:pPr>
              <w:spacing w:after="0"/>
              <w:rPr>
                <w:sz w:val="5"/>
                <w:szCs w:val="5"/>
                <w:color w:val="auto"/>
              </w:rPr>
            </w:pPr>
          </w:p>
        </w:tc>
      </w:tr>
      <w:tr>
        <w:trPr>
          <w:trHeight w:val="250"/>
        </w:trPr>
        <w:tc>
          <w:tcPr>
            <w:tcW w:w="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Borders>
              <w:bottom w:val="single" w:sz="8" w:color="CCEEFF"/>
            </w:tcBorders>
            <w:shd w:val="clear" w:color="auto" w:fill="CCEEFF"/>
          </w:tcPr>
          <w:p>
            <w:pPr>
              <w:spacing w:after="0"/>
              <w:rPr>
                <w:sz w:val="21"/>
                <w:szCs w:val="21"/>
                <w:color w:val="auto"/>
              </w:rPr>
            </w:pPr>
          </w:p>
        </w:tc>
        <w:tc>
          <w:tcPr>
            <w:tcW w:w="1006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411"/>
        </w:trPr>
        <w:tc>
          <w:tcPr>
            <w:tcW w:w="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 on this 23rd day of May, 2025.</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Burke &amp; Herbert Financial Services Corp.</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Roy E. Halyama</w:t>
            </w:r>
          </w:p>
        </w:tc>
        <w:tc>
          <w:tcPr>
            <w:tcW w:w="0" w:type="dxa"/>
            <w:vAlign w:val="bottom"/>
          </w:tcPr>
          <w:p>
            <w:pPr>
              <w:spacing w:after="0"/>
              <w:rPr>
                <w:sz w:val="1"/>
                <w:szCs w:val="1"/>
                <w:color w:val="auto"/>
              </w:rPr>
            </w:pPr>
          </w:p>
        </w:tc>
      </w:tr>
      <w:tr>
        <w:trPr>
          <w:trHeight w:val="41"/>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Roy E. Halyama</w:t>
            </w:r>
          </w:p>
        </w:tc>
        <w:tc>
          <w:tcPr>
            <w:tcW w:w="0" w:type="dxa"/>
            <w:vAlign w:val="bottom"/>
          </w:tcPr>
          <w:p>
            <w:pPr>
              <w:spacing w:after="0"/>
              <w:rPr>
                <w:sz w:val="1"/>
                <w:szCs w:val="1"/>
                <w:color w:val="auto"/>
              </w:rPr>
            </w:pPr>
          </w:p>
        </w:tc>
      </w:tr>
      <w:tr>
        <w:trPr>
          <w:trHeight w:val="28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Vice President, CFO</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2025-05-23T08:06:56Z</dcterms:created>
  <dcterms:modified xsi:type="dcterms:W3CDTF">2025-05-23T08:06:56Z</dcterms:modified>
</cp:coreProperties>
</file>