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ind w:left="580" w:right="2420" w:hanging="554"/>
        <w:spacing w:after="0" w:line="389" w:lineRule="auto"/>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58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001-41633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Burke &amp; Herbert Financial Services Corp.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Virginia</w:t>
            </w: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Pr>
          <w:p>
            <w:pPr>
              <w:jc w:val="right"/>
              <w:ind w:right="1568"/>
              <w:spacing w:after="0"/>
              <w:rPr>
                <w:sz w:val="20"/>
                <w:szCs w:val="20"/>
                <w:color w:val="auto"/>
              </w:rPr>
            </w:pPr>
            <w:r>
              <w:rPr>
                <w:rFonts w:ascii="Times New Roman" w:cs="Times New Roman" w:eastAsia="Times New Roman" w:hAnsi="Times New Roman"/>
                <w:sz w:val="14"/>
                <w:szCs w:val="14"/>
                <w:b w:val="1"/>
                <w:bCs w:val="1"/>
                <w:color w:val="auto"/>
              </w:rPr>
              <w:t>92-0289417</w:t>
            </w:r>
          </w:p>
        </w:tc>
      </w:tr>
      <w:tr>
        <w:trPr>
          <w:trHeight w:val="203"/>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7"/>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100 S. Fairfax Street, Alexandria, Virginia</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22314</w:t>
            </w:r>
          </w:p>
        </w:tc>
      </w:tr>
      <w:tr>
        <w:trPr>
          <w:trHeight w:val="203"/>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297"/>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703-666-3555</w:t>
            </w: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60" w:type="dxa"/>
            <w:vAlign w:val="bottom"/>
          </w:tcPr>
          <w:p>
            <w:pPr>
              <w:spacing w:after="0"/>
              <w:rPr>
                <w:sz w:val="17"/>
                <w:szCs w:val="17"/>
                <w:color w:val="auto"/>
              </w:rPr>
            </w:pPr>
          </w:p>
        </w:tc>
      </w:tr>
      <w:tr>
        <w:trPr>
          <w:trHeight w:val="445"/>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78"/>
        </w:trPr>
        <w:tc>
          <w:tcPr>
            <w:tcW w:w="3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$0.50 per share</w:t>
            </w:r>
          </w:p>
        </w:tc>
        <w:tc>
          <w:tcPr>
            <w:tcW w:w="8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BHRB</w:t>
            </w:r>
          </w:p>
        </w:tc>
        <w:tc>
          <w:tcPr>
            <w:tcW w:w="10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33" w:lineRule="exact"/>
        <w:rPr>
          <w:sz w:val="24"/>
          <w:szCs w:val="24"/>
          <w:color w:val="auto"/>
        </w:rPr>
      </w:pPr>
    </w:p>
    <w:p>
      <w:pPr>
        <w:jc w:val="both"/>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62"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5, 2026, there were 20,149,806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32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220" w:type="dxa"/>
            <w:vAlign w:val="bottom"/>
            <w:gridSpan w:val="6"/>
            <w:shd w:val="clear" w:color="auto" w:fill="CCEEFF"/>
          </w:tcPr>
          <w:p>
            <w:pPr>
              <w:spacing w:after="0"/>
              <w:rPr>
                <w:sz w:val="15"/>
                <w:szCs w:val="15"/>
                <w:color w:val="auto"/>
              </w:rPr>
            </w:pPr>
          </w:p>
        </w:tc>
        <w:tc>
          <w:tcPr>
            <w:tcW w:w="420" w:type="dxa"/>
            <w:vAlign w:val="bottom"/>
            <w:gridSpan w:val="4"/>
            <w:shd w:val="clear" w:color="auto" w:fill="CCEEFF"/>
          </w:tcPr>
          <w:p>
            <w:pPr>
              <w:jc w:val="center"/>
              <w:ind w:left="172"/>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420" w:type="dxa"/>
            <w:vAlign w:val="bottom"/>
            <w:gridSpan w:val="4"/>
          </w:tcPr>
          <w:p>
            <w:pPr>
              <w:jc w:val="center"/>
              <w:ind w:left="172"/>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00" w:type="dxa"/>
            <w:vAlign w:val="bottom"/>
            <w:tcBorders>
              <w:top w:val="single" w:sz="8" w:color="0000FF"/>
            </w:tcBorders>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26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8620" w:type="dxa"/>
            <w:vAlign w:val="bottom"/>
            <w:tcBorders>
              <w:bottom w:val="single" w:sz="8" w:color="CCEEFF"/>
            </w:tcBorders>
            <w:gridSpan w:val="10"/>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9680" w:type="dxa"/>
            <w:vAlign w:val="bottom"/>
            <w:gridSpan w:val="1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2340" w:type="dxa"/>
            <w:vAlign w:val="bottom"/>
            <w:tcBorders>
              <w:top w:val="single" w:sz="8" w:color="0000FF"/>
            </w:tcBorders>
            <w:gridSpan w:val="10"/>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34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tcBorders>
              <w:bottom w:val="single" w:sz="8" w:color="0000FF"/>
            </w:tcBorders>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340" w:type="dxa"/>
            <w:vAlign w:val="bottom"/>
            <w:tcBorders>
              <w:bottom w:val="single" w:sz="8" w:color="CCEEFF"/>
            </w:tcBorders>
            <w:gridSpan w:val="8"/>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968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Burke &amp; Herbert Financial Services Corp.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Balance Sheets as of March 31, 2026 (Unaudited), and December 31, 2025</w:t>
            </w:r>
          </w:p>
        </w:tc>
        <w:tc>
          <w:tcPr>
            <w:tcW w:w="4000" w:type="dxa"/>
            <w:vAlign w:val="bottom"/>
            <w:gridSpan w:val="5"/>
            <w:shd w:val="clear" w:color="auto" w:fill="CCEEFF"/>
          </w:tcPr>
          <w:p>
            <w:pPr>
              <w:spacing w:after="0"/>
              <w:rPr>
                <w:sz w:val="15"/>
                <w:szCs w:val="15"/>
                <w:color w:val="auto"/>
              </w:rPr>
            </w:pPr>
          </w:p>
        </w:tc>
        <w:tc>
          <w:tcPr>
            <w:tcW w:w="82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Three Months Ended March 31, 2026, and March 31, 2025 (Unaudited)</w:t>
            </w: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Months Ended March 31, 2026, and March 31, 2025 (Unaudited)</w:t>
            </w:r>
          </w:p>
        </w:tc>
        <w:tc>
          <w:tcPr>
            <w:tcW w:w="82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Three Months Ended March 31, 2026, and March 31, 2025 (Unaudited)</w:t>
            </w: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r>
      <w:tr>
        <w:trPr>
          <w:trHeight w:val="21"/>
        </w:trPr>
        <w:tc>
          <w:tcPr>
            <w:tcW w:w="20" w:type="dxa"/>
            <w:vAlign w:val="bottom"/>
          </w:tcPr>
          <w:p>
            <w:pPr>
              <w:spacing w:after="0" w:line="20" w:lineRule="exact"/>
              <w:rPr>
                <w:sz w:val="1"/>
                <w:szCs w:val="1"/>
                <w:color w:val="auto"/>
              </w:rPr>
            </w:pPr>
          </w:p>
        </w:tc>
        <w:tc>
          <w:tcPr>
            <w:tcW w:w="434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Three Months Ended March 31, 2026, and March 31, 2025 (Unaudited)</w:t>
            </w:r>
          </w:p>
        </w:tc>
        <w:tc>
          <w:tcPr>
            <w:tcW w:w="1800" w:type="dxa"/>
            <w:vAlign w:val="bottom"/>
            <w:gridSpan w:val="3"/>
            <w:shd w:val="clear" w:color="auto" w:fill="CCEEFF"/>
          </w:tcPr>
          <w:p>
            <w:pPr>
              <w:spacing w:after="0"/>
              <w:rPr>
                <w:sz w:val="16"/>
                <w:szCs w:val="16"/>
                <w:color w:val="auto"/>
              </w:rPr>
            </w:pPr>
          </w:p>
        </w:tc>
        <w:tc>
          <w:tcPr>
            <w:tcW w:w="82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the Consolidated Financial Statements (Unaudited)</w:t>
            </w:r>
          </w:p>
        </w:tc>
        <w:tc>
          <w:tcPr>
            <w:tcW w:w="4260" w:type="dxa"/>
            <w:vAlign w:val="bottom"/>
            <w:gridSpan w:val="3"/>
          </w:tcPr>
          <w:p>
            <w:pPr>
              <w:spacing w:after="0"/>
              <w:rPr>
                <w:sz w:val="16"/>
                <w:szCs w:val="16"/>
                <w:color w:val="auto"/>
              </w:rPr>
            </w:pPr>
          </w:p>
        </w:tc>
        <w:tc>
          <w:tcPr>
            <w:tcW w:w="1800" w:type="dxa"/>
            <w:vAlign w:val="bottom"/>
            <w:gridSpan w:val="3"/>
          </w:tcPr>
          <w:p>
            <w:pPr>
              <w:spacing w:after="0"/>
              <w:rPr>
                <w:sz w:val="16"/>
                <w:szCs w:val="16"/>
                <w:color w:val="auto"/>
              </w:rPr>
            </w:pP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8</w:t>
            </w:r>
          </w:p>
        </w:tc>
      </w:tr>
      <w:tr>
        <w:trPr>
          <w:trHeight w:val="925"/>
        </w:trPr>
        <w:tc>
          <w:tcPr>
            <w:tcW w:w="20" w:type="dxa"/>
            <w:vAlign w:val="bottom"/>
          </w:tcPr>
          <w:p>
            <w:pPr>
              <w:spacing w:after="0"/>
              <w:rPr>
                <w:sz w:val="24"/>
                <w:szCs w:val="24"/>
                <w:color w:val="auto"/>
              </w:rPr>
            </w:pPr>
          </w:p>
        </w:tc>
        <w:tc>
          <w:tcPr>
            <w:tcW w:w="4340" w:type="dxa"/>
            <w:vAlign w:val="bottom"/>
            <w:tcBorders>
              <w:top w:val="single" w:sz="8" w:color="0000FF"/>
            </w:tcBorders>
          </w:tcPr>
          <w:p>
            <w:pPr>
              <w:spacing w:after="0"/>
              <w:rPr>
                <w:sz w:val="24"/>
                <w:szCs w:val="24"/>
                <w:color w:val="auto"/>
              </w:rPr>
            </w:pPr>
          </w:p>
        </w:tc>
        <w:tc>
          <w:tcPr>
            <w:tcW w:w="2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6"/>
                <w:szCs w:val="16"/>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4"/>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0" w:type="dxa"/>
            <w:vAlign w:val="bottom"/>
          </w:tcPr>
          <w:p>
            <w:pPr>
              <w:spacing w:after="0"/>
              <w:rPr>
                <w:sz w:val="1"/>
                <w:szCs w:val="1"/>
                <w:color w:val="auto"/>
              </w:rPr>
            </w:pPr>
          </w:p>
        </w:tc>
      </w:tr>
      <w:tr>
        <w:trPr>
          <w:trHeight w:val="19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53,940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53,497</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deposits with banks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235,630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69,592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289,127</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1,615,954</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at cost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42,187</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held-for-sale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5,387,676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(67,823)</w:t>
            </w:r>
          </w:p>
        </w:tc>
        <w:tc>
          <w:tcPr>
            <w:tcW w:w="0" w:type="dxa"/>
            <w:vAlign w:val="bottom"/>
          </w:tcPr>
          <w:p>
            <w:pPr>
              <w:spacing w:after="0"/>
              <w:rPr>
                <w:sz w:val="1"/>
                <w:szCs w:val="1"/>
                <w:color w:val="auto"/>
              </w:rPr>
            </w:pPr>
          </w:p>
        </w:tc>
      </w:tr>
      <w:tr>
        <w:trPr>
          <w:trHeight w:val="20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5,336,712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5,319,853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 net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136,809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35,442</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41,747</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34,149</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213,200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189,104</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7,927,711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7,920,626</w:t>
            </w:r>
          </w:p>
        </w:tc>
        <w:tc>
          <w:tcPr>
            <w:tcW w:w="0" w:type="dxa"/>
            <w:vAlign w:val="bottom"/>
          </w:tcPr>
          <w:p>
            <w:pPr>
              <w:spacing w:after="0"/>
              <w:rPr>
                <w:sz w:val="1"/>
                <w:szCs w:val="1"/>
                <w:color w:val="auto"/>
              </w:rPr>
            </w:pPr>
          </w:p>
        </w:tc>
      </w:tr>
      <w:tr>
        <w:trPr>
          <w:trHeight w:val="145"/>
        </w:trPr>
        <w:tc>
          <w:tcPr>
            <w:tcW w:w="7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1,367,050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1,336,380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4,965,215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5,067,561</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6,332,265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6,403,941</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70,222</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17,268</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interest and other liabilities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124,546</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7,063,207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7,065,977</w:t>
            </w:r>
          </w:p>
        </w:tc>
        <w:tc>
          <w:tcPr>
            <w:tcW w:w="0" w:type="dxa"/>
            <w:vAlign w:val="bottom"/>
          </w:tcPr>
          <w:p>
            <w:pPr>
              <w:spacing w:after="0"/>
              <w:rPr>
                <w:sz w:val="1"/>
                <w:szCs w:val="1"/>
                <w:color w:val="auto"/>
              </w:rPr>
            </w:pPr>
          </w:p>
        </w:tc>
      </w:tr>
      <w:tr>
        <w:trPr>
          <w:trHeight w:val="145"/>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(see Note 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8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Preferred stock and related surplus, $1.00 par value per share; 2,000,000 shares authorized; 1,500 shares issued and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at March 31, 2026; 1,500 shares issued and outstanding at December 31, 2025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$0.50 par value; 40,000,000 shares authorized, 15,617,231 shares issued and 15,045,941 shares outstanding at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March 31, 2026; 40,000,000 shares authorized, 15,599,814 shares issued and 15,028,524 shares outstanding at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additional paid-in capital</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405,922</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517,058</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(58,960)</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571,290 shares, at cost, at March 31, 2026, and 571,290 shares, at cost, at December 31, 2025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864,504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854,649</w:t>
            </w:r>
          </w:p>
        </w:tc>
        <w:tc>
          <w:tcPr>
            <w:tcW w:w="0" w:type="dxa"/>
            <w:vAlign w:val="bottom"/>
          </w:tcPr>
          <w:p>
            <w:pPr>
              <w:spacing w:after="0"/>
              <w:rPr>
                <w:sz w:val="1"/>
                <w:szCs w:val="1"/>
                <w:color w:val="auto"/>
              </w:rPr>
            </w:pPr>
          </w:p>
        </w:tc>
      </w:tr>
      <w:tr>
        <w:trPr>
          <w:trHeight w:val="20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7,927,711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7,920,626</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8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loans, including fees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88,083</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97,031</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loans, including fees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income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105,456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110,786</w:t>
            </w:r>
          </w:p>
        </w:tc>
      </w:tr>
      <w:tr>
        <w:trPr>
          <w:trHeight w:val="19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37,799</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71,843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72,987</w:t>
            </w:r>
          </w:p>
        </w:tc>
      </w:tr>
      <w:tr>
        <w:trPr>
          <w:trHeight w:val="91"/>
        </w:trPr>
        <w:tc>
          <w:tcPr>
            <w:tcW w:w="8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loss expense - loans and available-for-sale securities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expense (recapture) - off-balance sheet credit exposures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provision for credit losses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credit loss expense</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72,486</w:t>
            </w:r>
          </w:p>
        </w:tc>
      </w:tr>
      <w:tr>
        <w:trPr>
          <w:trHeight w:val="91"/>
        </w:trPr>
        <w:tc>
          <w:tcPr>
            <w:tcW w:w="8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gains on securities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10,023</w:t>
            </w:r>
          </w:p>
        </w:tc>
      </w:tr>
      <w:tr>
        <w:trPr>
          <w:trHeight w:val="91"/>
        </w:trPr>
        <w:tc>
          <w:tcPr>
            <w:tcW w:w="8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ATM, card and network expense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and other regulatory assessments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9,114</w:t>
            </w: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49,664</w:t>
            </w:r>
          </w:p>
        </w:tc>
      </w:tr>
      <w:tr>
        <w:trPr>
          <w:trHeight w:val="91"/>
        </w:trPr>
        <w:tc>
          <w:tcPr>
            <w:tcW w:w="8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32,845</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5,644</w:t>
            </w:r>
          </w:p>
        </w:tc>
      </w:tr>
      <w:tr>
        <w:trPr>
          <w:trHeight w:val="91"/>
        </w:trPr>
        <w:tc>
          <w:tcPr>
            <w:tcW w:w="8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27,201</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applicable to common shares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26,976</w:t>
            </w:r>
          </w:p>
        </w:tc>
      </w:tr>
      <w:tr>
        <w:trPr>
          <w:trHeight w:val="90"/>
        </w:trPr>
        <w:tc>
          <w:tcPr>
            <w:tcW w:w="8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auto"/>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gains (losses) on securities:</w:t>
            </w:r>
          </w:p>
        </w:tc>
        <w:tc>
          <w:tcPr>
            <w:tcW w:w="5720" w:type="dxa"/>
            <w:vAlign w:val="bottom"/>
            <w:tcBorders>
              <w:bottom w:val="single" w:sz="8" w:color="CCEEFF"/>
            </w:tcBorders>
            <w:gridSpan w:val="2"/>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6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(loss) gain arising during period, net of tax of $2,933 and ($2,296) for the three months ended March 31,</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(9,882)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6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2026, and March 31, 2025, respectively</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8260" w:type="dxa"/>
            <w:vAlign w:val="bottom"/>
            <w:gridSpan w:val="4"/>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(gain) on securities, net of tax of $412 and $0 for the three months ended March 31, 2026,</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6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and March 31, 2025, respectively</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6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adjustment for (gain) on fair value hedge, net of tax of $9 and $9 for the three months ended March 31,</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6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2026, and March 31, 2025, respectively</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Defined benefit pension plans: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6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Changes in pension plan benefits, net of tax of $— and $— for the three months ended March 31, 2026, and March 31,</w:t>
            </w:r>
          </w:p>
        </w:tc>
        <w:tc>
          <w:tcPr>
            <w:tcW w:w="34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6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2025, respectively</w:t>
            </w:r>
          </w:p>
        </w:tc>
        <w:tc>
          <w:tcPr>
            <w:tcW w:w="3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auto"/>
            </w:tcBorders>
            <w:gridSpan w:val="3"/>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 (loss) on cash flow hedge:</w:t>
            </w:r>
          </w:p>
        </w:tc>
        <w:tc>
          <w:tcPr>
            <w:tcW w:w="54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60" w:type="dxa"/>
            <w:vAlign w:val="bottom"/>
            <w:gridSpan w:val="4"/>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holding gain on cash flow hedge, net of tax of ($382) and ($111) for the three months ended March 31, 2026,</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6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and March 31, 2025, respectively</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8260" w:type="dxa"/>
            <w:vAlign w:val="bottom"/>
            <w:gridSpan w:val="4"/>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(gains) included in net income, net of tax $8 and $99 for the three months ended</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6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March 31, 2026, and March 31, 2025, respectively</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2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0"/>
                <w:szCs w:val="10"/>
                <w:color w:val="auto"/>
              </w:rPr>
            </w:pPr>
          </w:p>
        </w:tc>
        <w:tc>
          <w:tcPr>
            <w:tcW w:w="106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Surplus</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5"/>
                <w:szCs w:val="15"/>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15,028,524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854,649</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27,349</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0" w:type="dxa"/>
            <w:vAlign w:val="bottom"/>
          </w:tcPr>
          <w:p>
            <w:pPr>
              <w:spacing w:after="0"/>
              <w:rPr>
                <w:sz w:val="1"/>
                <w:szCs w:val="1"/>
                <w:color w:val="auto"/>
              </w:rPr>
            </w:pPr>
          </w:p>
        </w:tc>
      </w:tr>
      <w:tr>
        <w:trPr>
          <w:trHeight w:val="19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15,045,941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7,809</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407,070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535,798</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(69,002)</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864,504</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14,969,104</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7,770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434,106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(95,720)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730,157</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27,201</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(8,237)</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6"/>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14,982,807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7,777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402,682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452,736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(88,024)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758,000</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27,349</w:t>
            </w:r>
          </w:p>
        </w:tc>
        <w:tc>
          <w:tcPr>
            <w:tcW w:w="100" w:type="dxa"/>
            <w:vAlign w:val="bottom"/>
          </w:tcPr>
          <w:p>
            <w:pPr>
              <w:spacing w:after="0"/>
              <w:rPr>
                <w:sz w:val="16"/>
                <w:szCs w:val="16"/>
                <w:color w:val="auto"/>
              </w:rPr>
            </w:pP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27,201</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 of fixed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on assumed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income related to acquired loans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housing tax credits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Realized (gain) on sales of available-for-sale securities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Realized loss on sales of OREO property</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from company-owned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of securities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Repayment of operating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loans held-for-sale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loans held-for-sale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6,647</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Originations of loans held-for-sale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in accrued interest receivable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Decrease (increase) in other assets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(24,845)</w:t>
            </w:r>
          </w:p>
        </w:tc>
      </w:tr>
      <w:tr>
        <w:trPr>
          <w:trHeight w:val="19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(Decrease) increase in accrued interest payable and other liabilities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(6,750)</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35,679</w:t>
            </w:r>
          </w:p>
        </w:tc>
      </w:tr>
      <w:tr>
        <w:trPr>
          <w:trHeight w:val="196"/>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26,502</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37,647</w:t>
            </w:r>
          </w:p>
        </w:tc>
      </w:tr>
      <w:tr>
        <w:trPr>
          <w:trHeight w:val="257"/>
        </w:trPr>
        <w:tc>
          <w:tcPr>
            <w:tcW w:w="8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available-for-sale,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50,373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sale of securities available-for-sale,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65,418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securities available-for-sale,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(319,559)</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(48,542)</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Business acquisitions,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Sales of restricted stock</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29,068</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restricted stock</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(30,621)</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 net of disposals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company-owned life insurance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OREO property</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 loans made to customers, net</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(10,471)</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23,944</w:t>
            </w: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flows (used in) provided by investing activities</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(240,980)</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22,605</w:t>
            </w:r>
          </w:p>
        </w:tc>
      </w:tr>
      <w:tr>
        <w:trPr>
          <w:trHeight w:val="257"/>
        </w:trPr>
        <w:tc>
          <w:tcPr>
            <w:tcW w:w="8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in non-interest-bearing accounts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increase (decrease) in interest-bearing accounts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(102,346)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(decrease) in other short-term borrowings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Repayment of finance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dividends paid</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employee stock purchase program</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3"/>
        </w:trPr>
        <w:tc>
          <w:tcPr>
            <w:tcW w:w="8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Issuance of common stock</w:t>
            </w: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flows (used in) financing activities</w:t>
            </w: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(46,720)</w:t>
            </w: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(219,535)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13,532</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Beginning of period</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289,127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135,314</w:t>
            </w:r>
          </w:p>
        </w:tc>
      </w:tr>
      <w:tr>
        <w:trPr>
          <w:trHeight w:val="19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End of period</w:t>
            </w: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69,592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148,846</w:t>
            </w:r>
          </w:p>
        </w:tc>
      </w:tr>
      <w:tr>
        <w:trPr>
          <w:trHeight w:val="257"/>
        </w:trPr>
        <w:tc>
          <w:tcPr>
            <w:tcW w:w="8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for:</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to depositors</w:t>
            </w: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26,756</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32,672</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on short-term borrowings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on subordinated debt and trust preferred securities</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on finance leases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3,595</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unrealized gains on available-for-sale securities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7,726</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 arising from obtaining right-of-use assets</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transferred to other real estate owned</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560"/>
        <w:spacing w:after="0" w:line="440" w:lineRule="auto"/>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Nature of operations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Burke &amp; Herbert Financial Services Corp. (“Burke &amp; Herbert”) and its wholly-owned subsidiary Burke &amp; Herbert Bank &amp; Trust Company (“the Bank”), together referred to as “the Company” for purposes of the Notes to the Financial Statements. As of close of the calendar year 2025, we ceased to be an emerging growth company and became a large accelerated filer. Therefore, we are no longer exempt from the requirements under Section 404 of the Sarbanes-Oxley Act and are no longer able to take advantage of exemptions from various public company reporting requirements applicable to emerging growth companies.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the Bank. Burke &amp; Herbert became a bank holding company when it commenced operations on October 1, 2022, following a reorganization transaction in which it acquired control of the Bank under the Bank Holding Company Act of 1956 (“BHCA”). This transaction was treated as an internal reorganization as all shareholders of the Bank became shareholders of Burke &amp; Herbert. Burke &amp; Herbert has no material operations other than owning the Bank. In September 2023, Burke &amp; Herbert elected to become a financial holding company under the BHCA. As a financial holding company of a Virginia state bank, the Company is subject to regulation, supervision, and examination by the Board of Governors of the Federal Reserve System (the “Federal Reserve”) and the Bureau of Financial Institutions of the Virginia State Corporation Commission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as of March 31, 2026,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LINKBANCORP, Inc.</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May 1, 2026 (the “Closing Date”), Burke &amp; Herbert Financial Services Corp., a Virginia corporation (“Burke &amp; Herbert”), completed its previously announced merger with LINKBANCORP, Inc., a Pennsylvania corporation (“LNKB”), pursuant to the Agreement and Plan of Merger dated December 18, 2025 between Burke &amp; Herbert and LNKB (the “LNKB Merger Agreement”).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LNKB Merger Agreement, on the Closing Date, (i) LNKB merged with and into Burke &amp; Herbert, with Burke &amp; Herbert continuing as the surviving corporation (the “LNKB Merger”), and (ii) immediately following the LNKB Merger, LINKBANK, a Pennsylvania chartered commercial bank and a wholly-owned subsidiary of LNKB (“Link”), merged with and into Burke &amp; Herbert Bank &amp; Trust Company, a Virginia chartered bank (“Burke &amp; Herbert Bank”) and a wholly-owned subsidiary of Burke &amp; Herbert, with Burke &amp; Herbert Bank as the surviving bank.</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LNKB Merger Agreement, at the effective time of the LNKB Merger (the “Effective Time”), each LNKB share of common stock, par value $0.01 per share (“LNKB Common Stock”) issued and outstanding immediately prior to the Effective Time, other than certain shares held by Burke &amp; Herbert and LNKB, was converted into the right to receive 0.1350 shares of Burke &amp; Herbert common stock. Holders of LNKB Common Stock will receive cash in lieu of fractional shares of Burke &amp; Herbert common stock in accordance with the terms of the LNKB Merger Agreement. The total aggregate consideration payable in the LNKB Merger was approximately 5,082,657 shares of Burke &amp; Herbert Common Stock. Management is currently evaluating the fair values of the assets acquired and liabilities assumed as a result of the merger.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Burke &amp; Herbert Financial Services Corp. and its wholly owned subsidiary Burke &amp; Herbert Bank &amp; Trust Company and have been prepared in accordance with generally accepted accounting principles in the United States of America (“GAAP”) for interim financial reporting and with applicable quarterly reporting regulations of the U.S. Securities and Exchange Commission (“SEC”). The accounting and reporting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policies of the Company conform to GAAP and reflect practices of the banking industry. They do not include all of the information and notes required by GAAP for complete financial statements. As such, these unaudited financial statements should be read in conjunction with the consolidated financial statements and notes thereto as of and for the year ended December 31, 2025, included in the Company’s Annual Report on Form 10-K filed with the SEC on February 27, 2026.</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the Bank (as its wholly-owned subsidiary). All significant intercompany accounts and transactions between the Company and the Bank have been eliminated. In preparing financial statements in conformity with GAAP, management is required to make estimates and assumptions that affect the reported amounts of assets and liabilities as of the date of the balance sheet and reported amounts of revenues and expenses during the reporting period. Actual results could differ from those estimates.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which are necessary for a fair presentation of the results of operations in these financial statements, have been made. The results of operations for the three months ended March 31, 2026, are not necessarily indicative of the results to be expected for any other interim period or for the full year. All December 31, 2025, amounts and disclosures included in this quarterly report were derived from the Company’s audited consolidated financial statements. Certain items in the prior period have been reclassified to conform to the current presentation. These reclassifications had no effect on prior year net income or on shareholders’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17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In November 2025, the FASB issued ASU 2025-08, </w:t>
      </w:r>
      <w:r>
        <w:rPr>
          <w:rFonts w:ascii="Times New Roman" w:cs="Times New Roman" w:eastAsia="Times New Roman" w:hAnsi="Times New Roman"/>
          <w:sz w:val="18"/>
          <w:szCs w:val="18"/>
          <w:i w:val="1"/>
          <w:iCs w:val="1"/>
          <w:color w:val="auto"/>
        </w:rPr>
        <w:t>Financial Instruments - Credit Losses (Topic 326): Purchased Loans.</w:t>
      </w:r>
      <w:r>
        <w:rPr>
          <w:rFonts w:ascii="Times New Roman" w:cs="Times New Roman" w:eastAsia="Times New Roman" w:hAnsi="Times New Roman"/>
          <w:sz w:val="18"/>
          <w:szCs w:val="18"/>
          <w:color w:val="auto"/>
        </w:rPr>
        <w:t xml:space="preserve"> This ASU amends the accounting for certain acquired loans by expanding the use of the “gross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approach under the CECL model to include purchased seasoned loans. Under this approach, the allowance for expected credit losses is recognized at the acquisition date as an adjustment to the loan’s amortized cost basis, rather than through a provision for credit losses, thereby eliminating a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one” credit loss expense for loans within the scope of the guidance. The amendments do not change the accounting for purchased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deteriorated loans, originated loans, credit card loans, or debt securities. The amendments in this update are effective for fiscal years beginning after December 15, 2026, including interim periods within those fiscal years, and are to be applied on a prospective basis. Early adoption is permitted. As permitted, the Company has elected to early adopt the amended guidance on January 1, 2026 on a prospective basis. The Company expects that substantially all the loans acquired in the LNKB Merger will be considered seasoned.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issued not yet adopted accounting standards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This ASU seeks to improve disclosures about a public business entity’s expenses and addresses requests from investors for more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the types of expenses in commonly presented expense captions. The amendments in this update are effective for annual reporting periods beginning after December 15, 2026, and interim reporting periods beginning after December 15, 2027. Early adoption is permitted. This ASU is not expected to have a material impact on our consolidated financial statements.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incorporates certain amendments to SEC disclosure requirements into the FASB Accounting Standards Codification.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the related disclosure requirement becomes effective. For all other entities, the effective date will be two years after the date of such removal. However, if by June 30, 2027, the SEC has not removed the related disclosure from its regulations, the amendments will be removed from the Codification and not become effective for any entity. We do not expect the adoption of ASU 2023-06 to have a material impact on our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available-for-sale (“AFS”) securities and their approximate fair values at March 31, 2026, and December 31, 2025, are summarized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149,463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990,269</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372,486</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98,377</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36,083</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1,912,515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1,826,037</w:t>
            </w:r>
          </w:p>
        </w:tc>
        <w:tc>
          <w:tcPr>
            <w:tcW w:w="0" w:type="dxa"/>
            <w:vAlign w:val="bottom"/>
          </w:tcPr>
          <w:p>
            <w:pPr>
              <w:spacing w:after="0"/>
              <w:rPr>
                <w:sz w:val="1"/>
                <w:szCs w:val="1"/>
                <w:color w:val="auto"/>
              </w:rPr>
            </w:pPr>
          </w:p>
        </w:tc>
      </w:tr>
      <w:tr>
        <w:trPr>
          <w:trHeight w:val="456"/>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922,574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218,092</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1,687,817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1,615,954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AFS securities with amortized costs of $1.1 billion and $1.1 billion, respectively, and with estimated fair values of $1.0 billion and $1.1 billion, respectively, were pledged to serve as collateral for secured borrowings, derivative exposures, or to secure public deposits as required or permitted by law.</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proceeds from sales, calls, and maturities of debt securities available-for-sale, including principal payments received, and the related gross gains and losses realized, for the three months ended March 31, 2026, and March 31, 2025,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Proceeds from</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Gross realized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gridSpan w:val="2"/>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Calls and maturities</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10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benefit (provision) related to the net realized gains and losses for the three months ended March 31, 2026, and March 31, 2025, was ($411.8) thousand, and ($0.2) thousand,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maturities of AFS securities at March 31, 2026, were as follows (in thousands): (Expected maturities of securities not due at a single maturity date are based on average life at estimated prepayment speed. Expected maturities may differ from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maturities because borrowers have the right to call or prepay some obligations with or without call or prepayment penalties).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158,733</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1,054,158</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60,008</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379,401</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72,465</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100,064</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50,732</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36,954</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689,897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929,323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275,509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1,912,515</w:t>
            </w:r>
          </w:p>
        </w:tc>
      </w:tr>
      <w:tr>
        <w:trPr>
          <w:trHeight w:val="456"/>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4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149,463</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990,269</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57,375</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372,486</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71,684</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98,377</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50,300</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36,083</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891,893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252,700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1,826,037</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there were no holdings of securities of any one issuer, other than the U.S. Government and its agencies, in any amount greater than 10% of shareholders’ equity.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securities with unrealized losses aggregated by investment category and length of time that individual securities have been in a continuous unrealized loss position at March 31, 2026, and December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AFS securities in a continuous unrealized loss position for less than twelve months and more than twelve months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00" w:type="dxa"/>
            <w:vAlign w:val="bottom"/>
          </w:tcPr>
          <w:p>
            <w:pPr>
              <w:spacing w:after="0"/>
              <w:rPr>
                <w:sz w:val="16"/>
                <w:szCs w:val="16"/>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33"/>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center"/>
              <w:ind w:right="73"/>
              <w:spacing w:after="0" w:line="137"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615,267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839,647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90,408</w:t>
            </w:r>
          </w:p>
        </w:tc>
        <w:tc>
          <w:tcPr>
            <w:tcW w:w="0" w:type="dxa"/>
            <w:vAlign w:val="bottom"/>
          </w:tcPr>
          <w:p>
            <w:pPr>
              <w:spacing w:after="0"/>
              <w:rPr>
                <w:sz w:val="1"/>
                <w:szCs w:val="1"/>
                <w:color w:val="auto"/>
              </w:rPr>
            </w:pPr>
          </w:p>
        </w:tc>
      </w:tr>
      <w:tr>
        <w:trPr>
          <w:trHeight w:val="456"/>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00" w:type="dxa"/>
            <w:vAlign w:val="bottom"/>
          </w:tcPr>
          <w:p>
            <w:pPr>
              <w:spacing w:after="0"/>
              <w:rPr>
                <w:sz w:val="16"/>
                <w:szCs w:val="16"/>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59,944</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209,397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880,574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allowance for credit losses (“ACL”) is recorded for the credit loss, limited by the amount that the fair value is less than the amortized cost basis under the current expected credit loss (“CECL”) standard, and declines due to non-credit factors are recorded in accumulated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comprehensive income (“AOCI”),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Balance Sheets.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record an ACL on the AFS securities as of March 31, 2026, or December 31, 2025. The Company considers the unrealized losses on the AFS securities to be related to fluctuations in market conditions, primarily interest rates, and not reflective of deterioration in credit. The Company had 478 securities in an unrealized loss position as of March 31, 2026. The Company has evaluated AFS securities in an unrealized loss position for credit-related impairment at March 31, 2026,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March 31,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Treasury and Federal Agencies and Federal Agency Mortgage (Residential and Commercial) Backed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the unrealized losses associated with 10 U.S. Treasuries and Government Agency securities, 11 Residential Mortgage Backed – Agency securities, and 15 Commercial Mortgage Backed – Agency securities were generally driven by changes in interest rates and not due to credit losses given the explicit or implicit guarantees provided by the U.S. government. Therefore, the Company has concluded that the unrealized losses for these securities do not require an ACL at March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States and Municipalities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2026, the unrealized losses associated with 347 State and Municipal securities were primarily caused by changes in interest rates and not the credit quality of the securities. These securities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March 31,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&amp; Commercial Mortgage Backed – Non-Agency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2026, the unrealized losses associated with 63 Residential Mortgage Backed – Non-Agency securities and 8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March 31,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the unrealized losses associated with 17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March 31,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2026, the unrealized losses associated with 7 securities were primarily driven by interest rates and not the credit quality of the securities. These investments were underwritten in accordance with our own investment standards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at cost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investment in Federal Home Loan Bank (“FHLB”) stock totaled $30.5 million and $26.8 million at March 31, 2026, and December 31, 2025, respectively. The Company’s investment in Federal Reserve Bank stock totaled $14.8 million and $14.8 million at March 31, 2026, and December 31, 2025, respectively. FHLB and Federal Reserve stock are generally viewed as long-term investments and as restricted investment securities, which are carried at cost, because there is no market for the stocks other than member institutions. Therefore, when evaluating FHLB and Federal Reserve stock for impairment, their values are based on the ultimate recoverability of the par value rather than by recognizing temporary declines in value. The Company does not consider these investments to be impaired at March 31, 2026, and no impairment has been recognized. FHLB stock and Federal Reserve stock are included in a separate line item, restricted stock, at cost on the Consolidated Balance Sheets and are not part of the Company’s AFS securities portfolio.</w:t>
      </w: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restricted stock line item on the Consolidated Balance Sheets also includes an investment in Community Bankers’ Bank, totaling $111 thousand at March 31, 2026, and $111 thousand at December 31, 2025, which is carried at cost and is not impaired at March 31, 2026. The Company also has other restricted stock investments including WV Bankers Title and Atlantic Community Bankers Bank which are included in restricted stock on the Consolidated Balance Sheets as of March 31, 2026 and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 among the various loan segments and are subject to the impact of changes in interest rates, market conditions of collateral securing the loans, and general economic conditions.</w:t>
      </w:r>
    </w:p>
    <w:p>
      <w:pPr>
        <w:spacing w:after="0" w:line="126"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Owner-occupied commercial real estate loans carry risk associated with the operations of the business that occupies the property and the value of the collateral.</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construction &amp; development loans carry risk associated with the credit-worthiness of the borrower, project completion within budget including the potential impact of volatile construction costs, sale after completion,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loans carry the risk associated with the operations of the business and the value of the collateral, if 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non-real estate and other loans, which includes overdrafts, carry risk associated with the credit-worthiness of the borrower and the value of the collateral, if 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as of March 31, 2026, and December 31, 2025, by portfolio segment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2,806,846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2,769,287</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593,120</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386,870</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461,921</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1,127,684</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48,794</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5,387,676</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(67,823)</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5,336,712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5,319,853</w:t>
            </w:r>
          </w:p>
        </w:tc>
      </w:tr>
    </w:tbl>
    <w:p>
      <w:pPr>
        <w:spacing w:after="0" w:line="238" w:lineRule="exact"/>
        <w:rPr>
          <w:sz w:val="20"/>
          <w:szCs w:val="20"/>
          <w:color w:val="auto"/>
        </w:rPr>
      </w:pPr>
    </w:p>
    <w:p>
      <w:pPr>
        <w:ind w:right="60"/>
        <w:spacing w:after="0" w:line="438" w:lineRule="auto"/>
        <w:rPr>
          <w:sz w:val="20"/>
          <w:szCs w:val="20"/>
          <w:color w:val="auto"/>
        </w:rPr>
      </w:pPr>
      <w:r>
        <w:rPr>
          <w:rFonts w:ascii="Times New Roman" w:cs="Times New Roman" w:eastAsia="Times New Roman" w:hAnsi="Times New Roman"/>
          <w:sz w:val="18"/>
          <w:szCs w:val="18"/>
          <w:color w:val="auto"/>
        </w:rPr>
        <w:t xml:space="preserve">Net deferred loan fees included in the above loan categories totaled $6.1 million and $6.2 million at March 31, 2026, and December 31, 2025, respectively. </w:t>
      </w:r>
      <w:r>
        <w:rPr>
          <w:rFonts w:ascii="Times New Roman" w:cs="Times New Roman" w:eastAsia="Times New Roman" w:hAnsi="Times New Roman"/>
          <w:sz w:val="18"/>
          <w:szCs w:val="18"/>
          <w:b w:val="1"/>
          <w:bCs w:val="1"/>
          <w:color w:val="auto"/>
        </w:rPr>
        <w:t>Note 4— Allowance for Credit Losses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ACL is calculated quarterly, with any adjustment recorded to the provision for credit losses in the Consolidated Statement of Income. Management calculates the quantitative portion of collectively evaluated loans for all loan categories using the weighted average remaining maturity (“WARM”) method. For purposes of estimating the Company’s ACL, management generally evaluates collectively evaluated loans by federal call code in order to group loans with similar risk characteristics.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 forecast. These qualitative risk factors considered by management are largely comparable to legacy factors prior to the adoption of CECL.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activity in the ACL for the three months ended March 31, 2026, and for the three months ended March 31, 2025,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commercial real</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240" w:type="dxa"/>
            <w:vAlign w:val="bottom"/>
          </w:tcPr>
          <w:p>
            <w:pPr>
              <w:spacing w:after="0"/>
              <w:rPr>
                <w:sz w:val="15"/>
                <w:szCs w:val="15"/>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26,190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67,823</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0" w:type="dxa"/>
            <w:vAlign w:val="bottom"/>
          </w:tcPr>
          <w:p>
            <w:pPr>
              <w:spacing w:after="0"/>
              <w:rPr>
                <w:sz w:val="1"/>
                <w:szCs w:val="1"/>
                <w:color w:val="auto"/>
              </w:rPr>
            </w:pPr>
          </w:p>
        </w:tc>
      </w:tr>
      <w:tr>
        <w:trPr>
          <w:trHeight w:val="16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27,001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67,955</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30,444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68,040</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Provision for (recapture of) credit losses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34,746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11,474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8,272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9,554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67,753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recorded investment in loans excludes accrued interest receivable due to immateriality. The following table presents the aging of the recorded investment in past due loans as of March 31, 2026, and December 31, 2025, by portfolio segment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March 31, 2026</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Non-accrual</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or More &amp; Still</w:t>
            </w: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8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Accruing</w:t>
            </w:r>
          </w:p>
        </w:tc>
        <w:tc>
          <w:tcPr>
            <w:tcW w:w="12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loans</w:t>
            </w:r>
          </w:p>
        </w:tc>
        <w:tc>
          <w:tcPr>
            <w:tcW w:w="0" w:type="dxa"/>
            <w:vAlign w:val="bottom"/>
          </w:tcPr>
          <w:p>
            <w:pPr>
              <w:spacing w:after="0"/>
              <w:rPr>
                <w:sz w:val="1"/>
                <w:szCs w:val="1"/>
                <w:color w:val="auto"/>
              </w:rPr>
            </w:pPr>
          </w:p>
        </w:tc>
      </w:tr>
      <w:tr>
        <w:trPr>
          <w:trHeight w:val="17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34,578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39,742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2,716,306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2,806,846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41,896</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565,880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579,365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6,842</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335,117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352,686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12,541</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494,248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504,229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1,101,523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1,128,740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0" w:type="dxa"/>
            <w:vAlign w:val="bottom"/>
          </w:tcPr>
          <w:p>
            <w:pPr>
              <w:spacing w:after="0"/>
              <w:rPr>
                <w:sz w:val="1"/>
                <w:szCs w:val="1"/>
                <w:color w:val="auto"/>
              </w:rPr>
            </w:pPr>
          </w:p>
        </w:tc>
      </w:tr>
      <w:tr>
        <w:trPr>
          <w:trHeight w:val="17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31,016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32,801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46,406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68,605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160,577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5,244,090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5,404,667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74,359</w:t>
            </w:r>
          </w:p>
        </w:tc>
        <w:tc>
          <w:tcPr>
            <w:tcW w:w="0" w:type="dxa"/>
            <w:vAlign w:val="bottom"/>
          </w:tcPr>
          <w:p>
            <w:pPr>
              <w:spacing w:after="0"/>
              <w:rPr>
                <w:sz w:val="1"/>
                <w:szCs w:val="1"/>
                <w:color w:val="auto"/>
              </w:rPr>
            </w:pPr>
          </w:p>
        </w:tc>
      </w:tr>
      <w:tr>
        <w:trPr>
          <w:trHeight w:val="425"/>
        </w:trPr>
        <w:tc>
          <w:tcPr>
            <w:tcW w:w="2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Non-accrual</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or More &amp; Still</w:t>
            </w: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8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Accruing</w:t>
            </w:r>
          </w:p>
        </w:tc>
        <w:tc>
          <w:tcPr>
            <w:tcW w:w="12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loans</w:t>
            </w:r>
          </w:p>
        </w:tc>
        <w:tc>
          <w:tcPr>
            <w:tcW w:w="0" w:type="dxa"/>
            <w:vAlign w:val="bottom"/>
          </w:tcPr>
          <w:p>
            <w:pPr>
              <w:spacing w:after="0"/>
              <w:rPr>
                <w:sz w:val="1"/>
                <w:szCs w:val="1"/>
                <w:color w:val="auto"/>
              </w:rPr>
            </w:pPr>
          </w:p>
        </w:tc>
      </w:tr>
      <w:tr>
        <w:trPr>
          <w:trHeight w:val="17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37,891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44,102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2,725,185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2,769,287</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37,318</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593,120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7,800</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372,350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386,870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12,793</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461,921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5,512</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1,101,726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1,127,684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6,802</w:t>
            </w:r>
          </w:p>
        </w:tc>
        <w:tc>
          <w:tcPr>
            <w:tcW w:w="0" w:type="dxa"/>
            <w:vAlign w:val="bottom"/>
          </w:tcPr>
          <w:p>
            <w:pPr>
              <w:spacing w:after="0"/>
              <w:rPr>
                <w:sz w:val="1"/>
                <w:szCs w:val="1"/>
                <w:color w:val="auto"/>
              </w:rPr>
            </w:pPr>
          </w:p>
        </w:tc>
      </w:tr>
      <w:tr>
        <w:trPr>
          <w:trHeight w:val="17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47,902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48,794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23,590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67,013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104,115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5,283,561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5,387,676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70,613</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at least 50% of the Bank’s commercial credit exposure. The Company uses the following definitions for credit risk classifications: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w:t>
      </w:r>
      <w:r>
        <w:rPr>
          <w:rFonts w:ascii="Times New Roman" w:cs="Times New Roman" w:eastAsia="Times New Roman" w:hAnsi="Times New Roman"/>
          <w:sz w:val="18"/>
          <w:szCs w:val="18"/>
          <w:color w:val="auto"/>
        </w:rPr>
        <w:t>: These include satisfactory loans that have acceptable levels of risk.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classified as special mention have a potential credit weakness that deserves management’s close attention. If left uncorrected,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potential weaknesses may result in deterioration of the repayment prospects for the loan or of the institution’s credit position at some future date.</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Substandard</w:t>
      </w:r>
      <w:r>
        <w:rPr>
          <w:rFonts w:ascii="Times New Roman" w:cs="Times New Roman" w:eastAsia="Times New Roman" w:hAnsi="Times New Roman"/>
          <w:sz w:val="18"/>
          <w:szCs w:val="18"/>
          <w:color w:val="auto"/>
        </w:rPr>
        <w:t>: Loans classified as substandard have a well-defined weakness or weaknesses that jeopardize the orderly liquidation of debt. Loans classified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substandard are inadequately protected by sound net worth, payment capacity of the borrower, or of the collateral pledged. If weaknesses go uncorrected, there is potential for partial loss of principal and/or interest.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Doubtful</w:t>
      </w:r>
      <w:r>
        <w:rPr>
          <w:rFonts w:ascii="Times New Roman" w:cs="Times New Roman" w:eastAsia="Times New Roman" w:hAnsi="Times New Roman"/>
          <w:sz w:val="18"/>
          <w:szCs w:val="18"/>
          <w:color w:val="auto"/>
        </w:rPr>
        <w:t>: Loans classified as doubtful have all the weaknesses inherent in those classified as substandard, with the added characteristic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on the basis of currently existing facts, conditions, and values, highly questionable and unlikely.</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Loans classified as a loss are considered to be uncollectible and cannot be justified to continue as viable assets. While there may be the possibility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recovery in the future, it is not practical or desirable to defer writing off these loans at the present time.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the loan portfolio, by year of origination, loan class, and credit quality,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83,730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312,039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244,074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421,242</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431,944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944,158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127,371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2,564,558</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50,786</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98,651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179,954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83,730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312,039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249,446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442,142</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491,758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1,082,022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145,709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2,806,846</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72,792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55,977</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58,648</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71,214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247,735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36,589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555,889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73,248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55,977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59,434</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81,919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259,198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36,655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579,365</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2"/>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56,108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25,235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93,877</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42,271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42,818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60,989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332,297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3,780</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3,564</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56,108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25,235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100,638</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46,695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51,958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61,053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352,686</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61,638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62,642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24,157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37,282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265,870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481,642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14,940</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64,000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62,895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25,318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38,150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39,698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268,720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504,229</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27,595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67,042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75,112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123,263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177,765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479,170</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168,971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1,118,918</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2,669</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7,021</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27,595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67,156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75,390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125,562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179,116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483,551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170,370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1,128,740</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9,271</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32,611</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32,801</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r>
      <w:tr>
        <w:trPr>
          <w:trHeight w:val="188"/>
        </w:trPr>
        <w:tc>
          <w:tcPr>
            <w:tcW w:w="2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143,445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580,327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478,274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757,684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839,966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1,918,385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686,586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5,404,667</w:t>
            </w:r>
          </w:p>
        </w:tc>
      </w:tr>
      <w:tr>
        <w:trPr>
          <w:trHeight w:val="452"/>
        </w:trPr>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324,565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245,763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377,142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437,116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383,808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620,673</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128,260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2,517,327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34,172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61,200</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185,869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324,565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251,158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398,041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504,513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434,553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709,671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146,786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2,769,287</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72,903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57,923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61,402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75,692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91,329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175,545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32,434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567,228</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10,109</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5,224</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73,362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62,197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87,280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94,494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185,357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593,120</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2"/>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64"/>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51,546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27,499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139,222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56,766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32,792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13,664</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48,012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369,501</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10,106</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51,546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27,499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142,991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60,993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36,854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386,870</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63,901</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66,758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27,018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25,659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16,991</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26,677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206,654</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433,658</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20,572</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66,419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68,908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28,510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41,733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29,035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210,133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461,921</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66,662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82,957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131,349</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180,837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125,345</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362,811</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168,043</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1,118,004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2,782</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66,777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83,240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133,098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182,214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126,459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366,844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169,052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1,127,684</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10,961</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5,543</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2,804</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17,335</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48,587</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17,335</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48,794</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w:t>
            </w:r>
          </w:p>
        </w:tc>
      </w:tr>
      <w:tr>
        <w:trPr>
          <w:trHeight w:val="188"/>
        </w:trPr>
        <w:tc>
          <w:tcPr>
            <w:tcW w:w="2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592,281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499,751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770,492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879,537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710,263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1,311,327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624,025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5,387,676</w:t>
            </w: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for which the borrower is experiencing financial difficulty and repayment is expected to be provided substantially through the operation or sale of the collateral are considered to be collateral-dependent loans. Collateral can have a significant financial effect in mitigating exposure to credit risk and, where there is sufficient collateral, an allowance for credit losses is not recognized or is minimal. For collateral-dependent loans, the allowance for credit losses is individually assessed based on the fair value of the collateral less estimated costs of sale. The Company's collateral-dependent loans are secured by real estate, inventory and equipment. Collateral values are generally based on appraisals, which are adjusted for changes in market indices. As of March 31, 2026 and December 31, 2025, the Company had $72.4 million and $68.7 million of collateral-dependent impaired loans, respectively.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collateral-dependent loans at March 31, 2026 consisted of $43.0 million of commercial real estate loans, $8.1 million of owner-occupied commercial real estate loans, $13.1 million of acquisition, construction &amp; development loans, $4.2 million of commercial &amp; industrial loans, and $4.1 million of single family residential loans. The collateral-dependent loans at December 31, 2025 consisted of $38.2 million of commercial real estate loans, $9.0 million of owner-occupied commercial real estate loans, $13.3 million of acquisition, construction &amp; development loans, $4.4 million of commercial &amp; industrial loans, and $3.8 million of single family residential loans. For the three months ended March 31, 2026 and the year ended December 31, 2025, there were no significant deterioration or changes in the collateral securing these loans.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collateral-dependent loans that were individually evaluated for purposes of determining the ACL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66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21,546</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5,726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43,027</w:t>
            </w:r>
          </w:p>
        </w:tc>
        <w:tc>
          <w:tcPr>
            <w:tcW w:w="10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35,361</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12,582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37,064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72,425</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12,582</w:t>
            </w:r>
          </w:p>
        </w:tc>
        <w:tc>
          <w:tcPr>
            <w:tcW w:w="0" w:type="dxa"/>
            <w:vAlign w:val="bottom"/>
          </w:tcPr>
          <w:p>
            <w:pPr>
              <w:spacing w:after="0"/>
              <w:rPr>
                <w:sz w:val="1"/>
                <w:szCs w:val="1"/>
                <w:color w:val="auto"/>
              </w:rPr>
            </w:pPr>
          </w:p>
        </w:tc>
      </w:tr>
      <w:tr>
        <w:trPr>
          <w:trHeight w:val="463"/>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66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jc w:val="center"/>
              <w:ind w:right="34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14,316</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3,939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38,173</w:t>
            </w:r>
          </w:p>
        </w:tc>
        <w:tc>
          <w:tcPr>
            <w:tcW w:w="10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23,085</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9,632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45,636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68,721</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9,632</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 Credit Deteriorated Loans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purchased loans relating to our 2024 merger with Summit Financial Group, Inc. (the “Summit Merger”) for which there was, at acquisition, evidence of more than insignificant deterioration of credit quality since origination. The carrying amount of those loans, at acquisition, is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3"/>
        </w:trPr>
        <w:tc>
          <w:tcPr>
            <w:tcW w:w="9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price of loans at acquisition</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380,795</w:t>
            </w:r>
          </w:p>
        </w:tc>
      </w:tr>
      <w:tr>
        <w:trPr>
          <w:trHeight w:val="195"/>
        </w:trPr>
        <w:tc>
          <w:tcPr>
            <w:tcW w:w="9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credit losses at acquisition</w:t>
            </w: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23,910</w:t>
            </w:r>
          </w:p>
        </w:tc>
      </w:tr>
      <w:tr>
        <w:trPr>
          <w:trHeight w:val="203"/>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Non-credit discount/(premium) at acquisition</w:t>
            </w:r>
          </w:p>
        </w:tc>
        <w:tc>
          <w:tcPr>
            <w:tcW w:w="3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37,640</w:t>
            </w:r>
          </w:p>
        </w:tc>
      </w:tr>
      <w:tr>
        <w:trPr>
          <w:trHeight w:val="256"/>
        </w:trPr>
        <w:tc>
          <w:tcPr>
            <w:tcW w:w="9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value of acquired loans at acquisition</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442,345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Modifications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2022-02 on a modified retrospective basis. ASU 2022-02 eliminates the troubled debt restructuring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w:t>
      </w:r>
      <w:r>
        <w:rPr>
          <w:rFonts w:ascii="Times New Roman" w:cs="Times New Roman" w:eastAsia="Times New Roman" w:hAnsi="Times New Roman"/>
          <w:sz w:val="18"/>
          <w:szCs w:val="18"/>
          <w:i w:val="1"/>
          <w:iCs w:val="1"/>
          <w:color w:val="auto"/>
        </w:rPr>
        <w:t>Receivables — Nonrefundable Fees and Other Costs</w:t>
      </w:r>
      <w:r>
        <w:rPr>
          <w:rFonts w:ascii="Times New Roman" w:cs="Times New Roman" w:eastAsia="Times New Roman" w:hAnsi="Times New Roman"/>
          <w:sz w:val="18"/>
          <w:szCs w:val="18"/>
          <w:color w:val="auto"/>
        </w:rPr>
        <w:t>, and subjects entities to new disclosure requirements on loan modifications to borrowers experiencing financial difficulty.</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 of forgiveness is charged off against the ACL. The Company may also provide multiple types of modifications on an individual loan. For the three months ended March 31, 2026, and for the year ended, December 31, 2025, the Company did not extend any modifications to borrowers experiencing financial difficulty that had a more-than-insignificant direct change in the contractual cash flows of the loan.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owned activity was as follows for the three months ended March 31, 2026, and for the year ended, December 31, 2025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Beginning balance</w:t>
            </w: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acquired/transferred to real estate owned</w:t>
            </w: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Direct write-downs</w:t>
            </w:r>
          </w:p>
        </w:tc>
        <w:tc>
          <w:tcPr>
            <w:tcW w:w="4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20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real estate owned</w:t>
            </w:r>
          </w:p>
        </w:tc>
        <w:tc>
          <w:tcPr>
            <w:tcW w:w="4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57"/>
        </w:trPr>
        <w:tc>
          <w:tcPr>
            <w:tcW w:w="77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End of period balance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Deposits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time deposits that meet or exceed the FDIC Insurance Limit of $250,000, was approximately $302.2 million and $295.4 million on March 31, 2026, and December 31, 2025, respectively. Brokered time deposits, which are fully insured, totaled $3.4 million and $64.4 million as of March 31, 2026, and December 31, 2025, respectively. Time deposits through the Certificate of Deposit Account Registry Service (“CDARS”) program totaled $22.4 million at March 31, 2026, compared to $22.4 million at December 31,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time deposits as of March 31, 2026 are as follows (in thousands):</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ending, December 31, 2026</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899,459</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90,923</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1,020,418</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amounts included in time deposits for individual retirement accounts totaled $110.7 million and $111.2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Overdrafts of $524.4 thousand and $704.0 thousand were reclassified to loans as of March 31, 2026, and December 31, 2025,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borrowings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had borrowings of $525.0 million and $450.0 million at March 31, 2026, and December 31, 2025, respectively. At March 31, 2026, the interest rate on this debt was 3.82%. At December 31, 2025, the interest rate on this debt was 3.75%. The average balance outstanding during the three months ending March 31, 2026, and the year ending December 31, 2025, was $492.4 million and $422.1 million, respectively. The Company has a finance lease liability that is not included in these balances - see </w:t>
      </w:r>
      <w:r>
        <w:rPr>
          <w:rFonts w:ascii="Times New Roman" w:cs="Times New Roman" w:eastAsia="Times New Roman" w:hAnsi="Times New Roman"/>
          <w:sz w:val="18"/>
          <w:szCs w:val="18"/>
          <w:u w:val="single" w:color="auto"/>
          <w:color w:val="0000FF"/>
        </w:rPr>
        <w:t>Note 7 - Leased Property</w:t>
      </w:r>
      <w:r>
        <w:rPr>
          <w:rFonts w:ascii="Times New Roman" w:cs="Times New Roman" w:eastAsia="Times New Roman" w:hAnsi="Times New Roman"/>
          <w:sz w:val="18"/>
          <w:szCs w:val="18"/>
          <w:color w:val="auto"/>
        </w:rPr>
        <w:t xml:space="preserve"> for a discussion of this liability that is included in the accrued interest and other liabilities line in the Consolidated Balance Sheets.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available secured lines of credit with the Federal Reserve Bank of Richmond, such as the Borrower-In-Custody program, the FHLB of Atlanta, and unsecured federal funds lines of credit from correspondent banking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relationships. Through these sources, the Company has unused capacity of $4.7 billion in remaining borrowing capacity as of March 31, 2026. The advances on credit lines are secured by both securities and loans. The lendable collateral value of securities and loans pledged against available lines of credit as of March 31, 2026, and December 31, 2025, was $3.4 billion and $3.2 billion, respectively. As of March 31, 2026, all of the Company’s borrowings will mature within one calendar year.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these borrowings, which all occur within one year of the reporting date, are as follows as of March 31, 2026,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2026</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borrowings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Summit Merger, Burke &amp; Herbert assumed $75.0 million of subordinated debentures, that were fair valued at $61.5 million with a $13.5 million discount being amortized into interest expense over the stated maturity. As of March 31, 2026, the net balance was $71.5 million. The subordinated debt qualifies as Tier 2 capital under Federal Reserve Board guidelines, until the debt is within 5 years of its maturity; thereafter, the amount qualifying as Tier 2 capital is reduced 20% each year until maturity. The subordinated debentures were issued in the fourth quarter of 2021. This subordinated debt bears interest at a fixed rate of 3.25% per year, from acquisition date to, but excluding, December 1, 2026, payable semi-annually in arrears. From and including, December 1, 2026 to, but excluding, the maturity date or earlier redemption date, the interest rate will reset quarterly at a variable rate equal to the then current three-month term Secured Overnight Financing Rate (“SOFR”), as published by the Federal Reserve Bank of New York, plus 230 basis points, payable quarterly in arrears. This debt has a 10-year term, and generally, is not prepayable by us within the first 5 years from issuance, which was fourth quarter 2021.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 Owed to Unconsolidated Subsidiary Trusts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Summit Merger, Burke &amp; Herbert became the sponsor for SFG Capital Trust I, SFG Capital Trust II, and SFG Capital Trust III. For each of these trusts, 100% of the common equity is owned by us. SFG Capital Trust I issued $3.5 million in capital securities and $109 thousand in common securities and invested the proceeds in $3.6 million of debentures, which were assumed by Burke &amp; Herbert in the Summit Merger. SFG Capital Trust II issued $7.5 million in capital securities and $232 thousand in common securities and invested the proceeds in $7.7 million of debentures, which were assumed by Burke &amp; Herbert in the Summit Merger. SFG Capital Trust III issued $8.0 million in capital securities and $248 thousand in common securities and invested the proceeds in $8.3 million of debentures, which were assumed by Burke &amp; Herbert in the Summit Merger. Distributions on the capital securities issued by the trusts are payable quarterly at a variable rate equal to three-month term SOFR, plus 345 basis points for SFG Capital Trust I, three-month term SOFR, plus 280 basis points for SFG Capital Trust II, and three-month term SOFR, plus 145 basis points for SFG Capital Trust III, and equals the interest rate earned on the debentures held by the trusts and is recorded as interest expense by us. The capital securities are subject to mandatory redemption in whole, or in part, upon repayment of the debentures. We have entered into agreements which, taken collectively, fully and unconditionally guarantee the capital securities subject to the terms of the guarantee. The debentures of each Capital Trust are redeemable by us quarterly.</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 securities issued by SFG Capital Trust I, SFG Capital Trust II, and SFG Capital Trust III qualify as Tier 1 capital under the Federal Reserve guidelines. In accordance with these Guidelines, trust preferred securities are limited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25% of Tier 1 capital elements, net of goodwill. The amount of trust preferred securities and certain other elements in excess of the limit can be included in Tier 2 capital.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subordinated debentures as of March 31, 2026,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Subordinated debentures</w:t>
            </w:r>
          </w:p>
        </w:tc>
        <w:tc>
          <w:tcPr>
            <w:tcW w:w="140" w:type="dxa"/>
            <w:vAlign w:val="bottom"/>
          </w:tcPr>
          <w:p>
            <w:pPr>
              <w:spacing w:after="0"/>
              <w:rPr>
                <w:sz w:val="13"/>
                <w:szCs w:val="13"/>
                <w:color w:val="auto"/>
              </w:rPr>
            </w:pPr>
          </w:p>
        </w:tc>
        <w:tc>
          <w:tcPr>
            <w:tcW w:w="22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Subordinated debentures owed to</w:t>
            </w:r>
          </w:p>
        </w:tc>
        <w:tc>
          <w:tcPr>
            <w:tcW w:w="0" w:type="dxa"/>
            <w:vAlign w:val="bottom"/>
          </w:tcPr>
          <w:p>
            <w:pPr>
              <w:spacing w:after="0"/>
              <w:rPr>
                <w:sz w:val="1"/>
                <w:szCs w:val="1"/>
                <w:color w:val="auto"/>
              </w:rPr>
            </w:pPr>
          </w:p>
        </w:tc>
      </w:tr>
      <w:tr>
        <w:trPr>
          <w:trHeight w:val="195"/>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unconsolidated subsidiary trusts</w:t>
            </w:r>
          </w:p>
        </w:tc>
        <w:tc>
          <w:tcPr>
            <w:tcW w:w="0" w:type="dxa"/>
            <w:vAlign w:val="bottom"/>
          </w:tcPr>
          <w:p>
            <w:pPr>
              <w:spacing w:after="0"/>
              <w:rPr>
                <w:sz w:val="1"/>
                <w:szCs w:val="1"/>
                <w:color w:val="auto"/>
              </w:rPr>
            </w:pPr>
          </w:p>
        </w:tc>
      </w:tr>
      <w:tr>
        <w:trPr>
          <w:trHeight w:val="214"/>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nine months ending, December 31, 2026</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operating leases with customers to lease vacant space in certain owned premises that is not being used by the Company. These operating leases are typically payable in monthly installments with terms ranging from around one year to around nine years and may contain renewal options. The components of lease income, which were included in non-interest expense on the Consolidated Statements of Income,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6"/>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818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income</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45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remaining maturities of operating lease receivables as of March 31, 2026, are as follows (in thousands):</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8"/>
        </w:trPr>
        <w:tc>
          <w:tcPr>
            <w:tcW w:w="8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ending, December 31, 2026</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Arrangements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terms of the Company’s leases range from less than one year to around twelve years. The lease agreements do not provide for residual value guarantees and have no restrictions or covenants that would impact dividends or require incurring additional financial obligations.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and liabilities by lease type, and the associated balance sheet classifications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2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54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14,096</w:t>
            </w:r>
          </w:p>
        </w:tc>
      </w:tr>
      <w:tr>
        <w:trPr>
          <w:trHeight w:val="229"/>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23"/>
        </w:trPr>
        <w:tc>
          <w:tcPr>
            <w:tcW w:w="5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right-of-use assets</w:t>
            </w:r>
          </w:p>
        </w:tc>
        <w:tc>
          <w:tcPr>
            <w:tcW w:w="2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17,891</w:t>
            </w:r>
          </w:p>
        </w:tc>
      </w:tr>
      <w:tr>
        <w:trPr>
          <w:trHeight w:val="20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w:t>
            </w:r>
          </w:p>
        </w:tc>
      </w:tr>
      <w:tr>
        <w:trPr>
          <w:trHeight w:val="229"/>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r>
      <w:tr>
        <w:trPr>
          <w:trHeight w:val="223"/>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18,875</w:t>
            </w:r>
          </w:p>
        </w:tc>
      </w:tr>
      <w:tr>
        <w:trPr>
          <w:trHeight w:val="46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total lease cost were as follows (in thousands):</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8"/>
        </w:trPr>
        <w:tc>
          <w:tcPr>
            <w:tcW w:w="5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6"/>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5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3"/>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bl>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future undiscounted lease payments for finance and operating leases with initial terms of one year or more as of March 31, 2026,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46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ending, December 31, 2026</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3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liabilities</w:t>
            </w:r>
          </w:p>
        </w:tc>
        <w:tc>
          <w:tcPr>
            <w:tcW w:w="35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r>
      <w:tr>
        <w:trPr>
          <w:trHeight w:val="898"/>
        </w:trPr>
        <w:tc>
          <w:tcPr>
            <w:tcW w:w="4660" w:type="dxa"/>
            <w:vAlign w:val="bottom"/>
          </w:tcPr>
          <w:p>
            <w:pPr>
              <w:spacing w:after="0"/>
              <w:rPr>
                <w:sz w:val="24"/>
                <w:szCs w:val="24"/>
                <w:color w:val="auto"/>
              </w:rPr>
            </w:pPr>
          </w:p>
        </w:tc>
        <w:tc>
          <w:tcPr>
            <w:tcW w:w="352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7"/>
        </w:trPr>
        <w:tc>
          <w:tcPr>
            <w:tcW w:w="46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Company’s leases as of March 31, 2026, and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Supplemental lease information (dollars in thousands)</w:t>
            </w: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remaining lease term (years)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discount rate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4.64 %</w:t>
            </w:r>
          </w:p>
        </w:tc>
      </w:tr>
      <w:tr>
        <w:trPr>
          <w:trHeight w:val="270"/>
        </w:trPr>
        <w:tc>
          <w:tcPr>
            <w:tcW w:w="7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920" w:type="dxa"/>
            <w:vAlign w:val="bottom"/>
            <w:gridSpan w:val="3"/>
            <w:shd w:val="clear" w:color="auto" w:fill="CCEEFF"/>
          </w:tcPr>
          <w:p>
            <w:pPr>
              <w:spacing w:after="0"/>
              <w:rPr>
                <w:sz w:val="23"/>
                <w:szCs w:val="23"/>
                <w:color w:val="auto"/>
              </w:rPr>
            </w:pPr>
          </w:p>
        </w:tc>
      </w:tr>
      <w:tr>
        <w:trPr>
          <w:trHeight w:val="196"/>
        </w:trPr>
        <w:tc>
          <w:tcPr>
            <w:tcW w:w="7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778</w:t>
            </w:r>
          </w:p>
        </w:tc>
      </w:tr>
      <w:tr>
        <w:trPr>
          <w:trHeight w:val="229"/>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6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Banks and financial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III Framework, an entity must hold a capital conservation buffer above the adequately capitalized risk-based capital ratios. The net unrealized gain or loss on AFS securities is not included in computing regulatory capital. Management believes as of March 31, 2026, the Company and the Bank meet all capital adequacy requirements to which they are subject.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March 31, 2026, and December 31, 2025, the most recent notification from the FDIC categorized the Bank as “well capitalized” under the regulatory framework for “prompt corrective action.”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actual and required capital amounts and ratios for the Company and the Bank at March 31, 2026, and December 31, 2025 (in thousands except for ratios):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Minimum Required Capital - Basel III</w:t>
            </w:r>
          </w:p>
        </w:tc>
        <w:tc>
          <w:tcPr>
            <w:tcW w:w="220" w:type="dxa"/>
            <w:vAlign w:val="bottom"/>
          </w:tcPr>
          <w:p>
            <w:pPr>
              <w:spacing w:after="0"/>
              <w:rPr>
                <w:sz w:val="13"/>
                <w:szCs w:val="13"/>
                <w:color w:val="auto"/>
              </w:rPr>
            </w:pPr>
          </w:p>
        </w:tc>
        <w:tc>
          <w:tcPr>
            <w:tcW w:w="232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Minimum Required to be Well</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1,026,838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16.52 %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652,804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621,718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1,010,788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651,547</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620,521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884,378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528,460</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497,374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939,838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527,443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496,417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856,634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404,117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434,365</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403,339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884,378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313,866</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392,332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939,838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314,043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392,554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1,004,898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16.17 %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652,648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621,570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986,269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15.92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650,649</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619,665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863,657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528,334</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497,256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495,732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435,099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404,020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915,250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433,766</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402,782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863,657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316,492</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395,615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315,898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394,873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source of funds for dividend payments is dividends received from the Bank. Banking regulations limit the amount of dividends that may be paid without prior approval of regulatory agencies. As of March 31, 2026, approximately $359.2 million of retained earnings was available for dividend declaration consistent with the Company’s capital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 in using interest rate derivatives is to add stability to net interest income and to manage its exposure to interest rate movements. To accomplish this objective, the Company primarily uses interest rate swaps, caps, and floors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As of March 31, 2026, such derivatives were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used to hedge the variable cash flows associated with variable-rate liabilities. As of March 31, 2025, such derivatives were used to hedge the variable cash flows associated with variable-rate debt and variable-rate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AOCI and subsequently reclassified into interest expense or interest income in the same period(s) during which the hedged transaction affects earnings. During the next twelve months, the Company estimates that an additional $1.4 million will be reclassified as a reduction in interest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accrued interest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which includes accrued interest, as well as their classification on the Consolidated Balance Sheets as of March 31, 2026, and December 31, 2025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6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4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463"/>
        </w:trPr>
        <w:tc>
          <w:tcPr>
            <w:tcW w:w="4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70"/>
        </w:trPr>
        <w:tc>
          <w:tcPr>
            <w:tcW w:w="4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203,904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891"/>
        </w:trPr>
        <w:tc>
          <w:tcPr>
            <w:tcW w:w="4560" w:type="dxa"/>
            <w:vAlign w:val="bottom"/>
          </w:tcPr>
          <w:p>
            <w:pPr>
              <w:spacing w:after="0"/>
              <w:rPr>
                <w:sz w:val="24"/>
                <w:szCs w:val="24"/>
                <w:color w:val="auto"/>
              </w:rPr>
            </w:pPr>
          </w:p>
        </w:tc>
        <w:tc>
          <w:tcPr>
            <w:tcW w:w="3140" w:type="dxa"/>
            <w:vAlign w:val="bottom"/>
            <w:gridSpan w:val="2"/>
          </w:tcPr>
          <w:p>
            <w:pPr>
              <w:jc w:val="right"/>
              <w:ind w:right="1894"/>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7"/>
        </w:trPr>
        <w:tc>
          <w:tcPr>
            <w:tcW w:w="4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three months ended March 31, 2026, and March 31, 2025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1,668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1,668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Income for the three months ended March 31, 2026, and March 31, 2025 (in thousands).</w:t>
      </w:r>
    </w:p>
    <w:p>
      <w:pPr>
        <w:spacing w:after="0" w:line="14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w:t>
      </w: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Value and Cash Flow Hedging Relationships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0" w:type="dxa"/>
            <w:vAlign w:val="bottom"/>
          </w:tcPr>
          <w:p>
            <w:pPr>
              <w:spacing w:after="0"/>
              <w:rPr>
                <w:sz w:val="1"/>
                <w:szCs w:val="1"/>
                <w:color w:val="auto"/>
              </w:rPr>
            </w:pP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596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Total amounts of income and expense line items presented in the consolidated statements</w:t>
            </w:r>
          </w:p>
        </w:tc>
        <w:tc>
          <w:tcPr>
            <w:tcW w:w="440" w:type="dxa"/>
            <w:vAlign w:val="bottom"/>
            <w:tcBorders>
              <w:top w:val="single" w:sz="8" w:color="auto"/>
            </w:tcBorders>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income in which the effects of fair value or cash flow hedges are recorded</w:t>
            </w:r>
          </w:p>
        </w:tc>
        <w:tc>
          <w:tcPr>
            <w:tcW w:w="4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Gain or (loss) on fair value hedging relationships in Subtopic 815-20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Interest contracts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Hedged items </w:t>
            </w:r>
            <w:r>
              <w:rPr>
                <w:rFonts w:ascii="Times New Roman" w:cs="Times New Roman" w:eastAsia="Times New Roman" w:hAnsi="Times New Roman"/>
                <w:sz w:val="21"/>
                <w:szCs w:val="21"/>
                <w:color w:val="auto"/>
                <w:vertAlign w:val="superscript"/>
              </w:rPr>
              <w:t>(1)</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Interest contracts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Amount of gain or (loss) reclassified from AOCI into income as a result that a forecasted</w:t>
            </w:r>
          </w:p>
        </w:tc>
        <w:tc>
          <w:tcPr>
            <w:tcW w:w="4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transaction is no longer probable of occurring</w:t>
            </w:r>
          </w:p>
        </w:tc>
        <w:tc>
          <w:tcPr>
            <w:tcW w:w="4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included component</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excluded component</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460" w:firstLine="8"/>
        <w:spacing w:after="0" w:line="281" w:lineRule="auto"/>
        <w:tabs>
          <w:tab w:leader="none" w:pos="20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voluntarily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amortization of other discounts or premiums on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fair value of derivatives in a liability position, which includes accrued interest but excludes any adjustment for non-performance risk related to these agreements, was $4.6 thousand. As of December 31, 2025, the fair value of derivatives in a net liability position, which includes accrued interest but excludes any adjustment for non-performance risk related to these agreements, was $340.0 thousand. As of March 31, 2026, and as of December 31, 2025, the Company has posted the full amount of collateral related to these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extension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(e.g., revolving lines of credit) and commercial letters of credit.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contractual amounts of the Company’s financial instruments outstanding at March 31, 2026, and December 31, 2025, is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970,255</w:t>
            </w: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letters of credit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23,959</w:t>
            </w:r>
          </w:p>
        </w:tc>
      </w:tr>
    </w:tbl>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extend credit and commercial letters of credit both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off-balance-sheet credit exposures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recapture of credit losses on unfunded commitments of $201.0 thousand and recapture of credit losses of $398.8 thousand on unfunded commitments for the three months ended March 31, 2026 and March 31, 2025, respectively. The ACL on off-balance-sheet credit totaled $3.0 million and $3.2 million as of March 31, 2026, and December 31, 2025, and is included in accrued interest and other liabilities on the accompanying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 as of March 31, 2026, and December 31, 2025,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2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for identical assets or liabilities in active markets that the entity has the ability to access as of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inputs that reflect our own assumptions that market participants would use in pricing an asset or liability.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investments are recorded at fair value on a recurring basis, with changes in fair value reported in net income. Through the Summit Merger we acquired an investment in an S&amp;P 500 index mutual fund that is traded on an exchange, and we classify it as Level 2 as of March 31, 2026.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the Summit Merger, we acquired perpetual preferred stock of a bank holding company issued in October 2022 in a private offering. The perpetual preferred stock does not trade on an exchange or in an active over-the-counter market; therefore, we estimate its fair value using the present value of its future cash flows using observed discount rates of similar publicly-traded securities, adjusted for a liquidity premium. We classify the perpetual preferred stock as Level 2.</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are carried at cost, minus impairment, if any, plus or minus changes resulting from observable price changes in orderly transactions for an identical or similar investment. Such equity securities are included in other assets on the accompanying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held-for-sale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149,463</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990,269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990,269</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57,375</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372,486</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71,684</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98,377</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50,300</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36,083</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1,676,574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1,826,037</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13,919</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0" w:type="dxa"/>
            <w:vAlign w:val="bottom"/>
          </w:tcPr>
          <w:p>
            <w:pPr>
              <w:spacing w:after="0"/>
              <w:rPr>
                <w:sz w:val="1"/>
                <w:szCs w:val="1"/>
                <w:color w:val="auto"/>
              </w:rPr>
            </w:pPr>
          </w:p>
        </w:tc>
      </w:tr>
      <w:tr>
        <w:trPr>
          <w:trHeight w:val="47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9"/>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150,124</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922,574</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55,385</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218,092</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73,896</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111,109</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53,466</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31,308</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150,124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1,465,830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1,615,954</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14,201</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certain assets recorded at fair value on a non-recurring basis in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dependent loans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for which the borrower is experiencing financial difficulty and repayment is dependent upon the operation or sale of collateral, are considered collateral-dependent. For collateral-dependent loans, the fair value is measured based on the value of the collateral securing the loans, less estimated costs of disposal. Collateral may be in the form of real estate or business assets, including equipment, inventory, and accounts receivable. The vast majority of the collateral underlying collateral-dependent loans is real estate, the fair value of which is measured through an appraisal. The appraisals of the collateral supporting collateral-dependent loans may utilize a single valuation approach or a combination of approaches, including comparable sales and the income approach. Any fair value adjustments are recorded in the period incurred as provision for (recapture of) credit losses on the Consolidated Statements of Income.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less costs to sell when acquired, establishing a new cost basis. The fair value of foreclosed properties is determined on a nonrecurring basis generally utilizing current appraisals performed by an independent, licensed appraiser applying an income or market value approach using observable market data. Updated appraisals of foreclosed properties are generally obtained if the existing appraisal is more than 18 months old or more frequently if there is a known deterioration in value. However, if a current appraisal is not available, the original appraised value is discounted, as appropriate, to compensate for the estimated depreciation in the value of the real estate since the date of its original appraisal. Such discounts are generally estimated based upon management’s knowledge of sales of similar property within the applicable market area and its knowledge of other real estate market-related data as well as general economic trends. Upon foreclosure, any fair value adjustment is charged against the allowance for credit losses on loans. Subsequent fair value adjustments are recorded in the period incurred and included in other noninterest expense in the Consolidated Statements of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that were measured at fair value on a non-recurring basis during the period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 Using:</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15,820</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20" w:type="dxa"/>
            <w:vAlign w:val="bottom"/>
          </w:tcPr>
          <w:p>
            <w:pPr>
              <w:spacing w:after="0"/>
              <w:rPr>
                <w:sz w:val="16"/>
                <w:szCs w:val="16"/>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20" w:type="dxa"/>
            <w:vAlign w:val="bottom"/>
          </w:tcPr>
          <w:p>
            <w:pPr>
              <w:spacing w:after="0"/>
              <w:rPr>
                <w:sz w:val="16"/>
                <w:szCs w:val="16"/>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20" w:type="dxa"/>
            <w:vAlign w:val="bottom"/>
          </w:tcPr>
          <w:p>
            <w:pPr>
              <w:spacing w:after="0"/>
              <w:rPr>
                <w:sz w:val="16"/>
                <w:szCs w:val="16"/>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gridSpan w:val="9"/>
          </w:tcPr>
          <w:p>
            <w:pPr>
              <w:ind w:left="12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5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54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10,377</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10,377</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20" w:type="dxa"/>
            <w:vAlign w:val="bottom"/>
          </w:tcPr>
          <w:p>
            <w:pPr>
              <w:spacing w:after="0"/>
              <w:rPr>
                <w:sz w:val="16"/>
                <w:szCs w:val="16"/>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Level 3 Fair Value Measurements for assets measured at fair value on a non-recurring basis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(in thousands except for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22,779</w:t>
            </w:r>
          </w:p>
        </w:tc>
        <w:tc>
          <w:tcPr>
            <w:tcW w:w="10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203"/>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1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95"/>
        </w:trPr>
        <w:tc>
          <w:tcPr>
            <w:tcW w:w="2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277"/>
        </w:trPr>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13,453</w:t>
            </w:r>
          </w:p>
        </w:tc>
        <w:tc>
          <w:tcPr>
            <w:tcW w:w="10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203"/>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135"/>
        </w:trPr>
        <w:tc>
          <w:tcPr>
            <w:tcW w:w="2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88"/>
        </w:trPr>
        <w:tc>
          <w:tcPr>
            <w:tcW w:w="2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financial instruments not carried at fair value, at March 31, 2026, and December 31, 2025,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53,940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53,940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53,940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Interest-earning deposits with banks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15,652</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5,336,712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5,312,163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5,312,163</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37,625</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1,367,050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1,367,050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1,367,050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4,959,923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4,959,923</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523,406</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68,093</w:t>
            </w:r>
          </w:p>
        </w:tc>
        <w:tc>
          <w:tcPr>
            <w:tcW w:w="0" w:type="dxa"/>
            <w:vAlign w:val="bottom"/>
          </w:tcPr>
          <w:p>
            <w:pPr>
              <w:spacing w:after="0"/>
              <w:rPr>
                <w:sz w:val="1"/>
                <w:szCs w:val="1"/>
                <w:color w:val="auto"/>
              </w:rPr>
            </w:pPr>
          </w:p>
        </w:tc>
      </w:tr>
      <w:tr>
        <w:trPr>
          <w:trHeight w:val="139"/>
        </w:trPr>
        <w:tc>
          <w:tcPr>
            <w:tcW w:w="350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16,438</w:t>
            </w:r>
          </w:p>
        </w:tc>
        <w:tc>
          <w:tcPr>
            <w:tcW w:w="0" w:type="dxa"/>
            <w:vAlign w:val="bottom"/>
          </w:tcPr>
          <w:p>
            <w:pPr>
              <w:spacing w:after="0"/>
              <w:rPr>
                <w:sz w:val="1"/>
                <w:szCs w:val="1"/>
                <w:color w:val="auto"/>
              </w:rPr>
            </w:pPr>
          </w:p>
        </w:tc>
      </w:tr>
      <w:tr>
        <w:trPr>
          <w:trHeight w:val="193"/>
        </w:trPr>
        <w:tc>
          <w:tcPr>
            <w:tcW w:w="3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20" w:type="dxa"/>
            <w:vAlign w:val="bottom"/>
            <w:gridSpan w:val="9"/>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53,497</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 with banks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235,630</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5,319,853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5,284,210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5,284,210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35,442</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1,336,380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1,336,380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1,336,380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5,067,561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5,062,925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5,062,925</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450,005</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70,800</w:t>
            </w:r>
          </w:p>
        </w:tc>
        <w:tc>
          <w:tcPr>
            <w:tcW w:w="0" w:type="dxa"/>
            <w:vAlign w:val="bottom"/>
          </w:tcPr>
          <w:p>
            <w:pPr>
              <w:spacing w:after="0"/>
              <w:rPr>
                <w:sz w:val="1"/>
                <w:szCs w:val="1"/>
                <w:color w:val="auto"/>
              </w:rPr>
            </w:pPr>
          </w:p>
        </w:tc>
      </w:tr>
      <w:tr>
        <w:trPr>
          <w:trHeight w:val="139"/>
        </w:trPr>
        <w:tc>
          <w:tcPr>
            <w:tcW w:w="350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0" w:type="dxa"/>
            <w:vAlign w:val="bottom"/>
          </w:tcPr>
          <w:p>
            <w:pPr>
              <w:spacing w:after="0"/>
              <w:rPr>
                <w:sz w:val="1"/>
                <w:szCs w:val="1"/>
                <w:color w:val="auto"/>
              </w:rPr>
            </w:pPr>
          </w:p>
        </w:tc>
      </w:tr>
      <w:tr>
        <w:trPr>
          <w:trHeight w:val="193"/>
        </w:trPr>
        <w:tc>
          <w:tcPr>
            <w:tcW w:w="3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by component, net of tax, for the three months ended March 31, 2026, and March 31, 2025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(4,039)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(58,960)</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(66,157)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(4,039)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(69,002)</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(4,576)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(95,720)</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(4,576)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reclassified out of each component of accumulated other comprehensive income (loss) for the three months ended March 31, 2026, and March 31, 2025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6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Affected Line Item in the</w:t>
            </w:r>
          </w:p>
        </w:tc>
        <w:tc>
          <w:tcPr>
            <w:tcW w:w="0" w:type="dxa"/>
            <w:vAlign w:val="bottom"/>
          </w:tcPr>
          <w:p>
            <w:pPr>
              <w:spacing w:after="0"/>
              <w:rPr>
                <w:sz w:val="1"/>
                <w:szCs w:val="1"/>
                <w:color w:val="auto"/>
              </w:rPr>
            </w:pPr>
          </w:p>
        </w:tc>
      </w:tr>
      <w:tr>
        <w:trPr>
          <w:trHeight w:val="208"/>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 Components</w:t>
            </w:r>
          </w:p>
        </w:tc>
        <w:tc>
          <w:tcPr>
            <w:tcW w:w="2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0" w:type="dxa"/>
            <w:vAlign w:val="bottom"/>
          </w:tcPr>
          <w:p>
            <w:pPr>
              <w:spacing w:after="0"/>
              <w:rPr>
                <w:sz w:val="1"/>
                <w:szCs w:val="1"/>
                <w:color w:val="auto"/>
              </w:rPr>
            </w:pPr>
          </w:p>
        </w:tc>
      </w:tr>
      <w:tr>
        <w:trPr>
          <w:trHeight w:val="211"/>
        </w:trPr>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9"/>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162"/>
        </w:trPr>
        <w:tc>
          <w:tcPr>
            <w:tcW w:w="5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22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4"/>
                <w:szCs w:val="14"/>
                <w:color w:val="auto"/>
              </w:rPr>
            </w:pPr>
          </w:p>
        </w:tc>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Realized gains (losses) on securities</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Pr>
          <w:p>
            <w:pPr>
              <w:spacing w:after="0"/>
              <w:rPr>
                <w:sz w:val="14"/>
                <w:szCs w:val="14"/>
                <w:color w:val="auto"/>
              </w:rPr>
            </w:pPr>
          </w:p>
        </w:tc>
        <w:tc>
          <w:tcPr>
            <w:tcW w:w="1580" w:type="dxa"/>
            <w:vAlign w:val="bottom"/>
            <w:vMerge w:val="restart"/>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gains/(losses) on</w:t>
            </w:r>
          </w:p>
        </w:tc>
        <w:tc>
          <w:tcPr>
            <w:tcW w:w="0" w:type="dxa"/>
            <w:vAlign w:val="bottom"/>
          </w:tcPr>
          <w:p>
            <w:pPr>
              <w:spacing w:after="0"/>
              <w:rPr>
                <w:sz w:val="1"/>
                <w:szCs w:val="1"/>
                <w:color w:val="auto"/>
              </w:rPr>
            </w:pPr>
          </w:p>
        </w:tc>
      </w:tr>
      <w:tr>
        <w:trPr>
          <w:trHeight w:val="213"/>
        </w:trPr>
        <w:tc>
          <w:tcPr>
            <w:tcW w:w="542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0" w:type="dxa"/>
            <w:vAlign w:val="bottom"/>
          </w:tcPr>
          <w:p>
            <w:pPr>
              <w:spacing w:after="0"/>
              <w:rPr>
                <w:sz w:val="1"/>
                <w:szCs w:val="1"/>
                <w:color w:val="auto"/>
              </w:rPr>
            </w:pPr>
          </w:p>
        </w:tc>
      </w:tr>
      <w:tr>
        <w:trPr>
          <w:trHeight w:val="219"/>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Realized gains (losses) on basis adjustment for fair value hedges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162"/>
        </w:trPr>
        <w:tc>
          <w:tcPr>
            <w:tcW w:w="5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22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4"/>
                <w:szCs w:val="14"/>
                <w:color w:val="auto"/>
              </w:rPr>
            </w:pPr>
          </w:p>
        </w:tc>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Defined benefit pension plan:</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Amortization of actuarial gain / (loss)</w:t>
            </w:r>
          </w:p>
        </w:tc>
        <w:tc>
          <w:tcPr>
            <w:tcW w:w="220" w:type="dxa"/>
            <w:vAlign w:val="bottom"/>
          </w:tcPr>
          <w:p>
            <w:pPr>
              <w:spacing w:after="0"/>
              <w:rPr>
                <w:sz w:val="14"/>
                <w:szCs w:val="14"/>
                <w:color w:val="auto"/>
              </w:rPr>
            </w:pPr>
          </w:p>
        </w:tc>
        <w:tc>
          <w:tcPr>
            <w:tcW w:w="1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Pension and other</w:t>
            </w:r>
          </w:p>
        </w:tc>
        <w:tc>
          <w:tcPr>
            <w:tcW w:w="0" w:type="dxa"/>
            <w:vAlign w:val="bottom"/>
          </w:tcPr>
          <w:p>
            <w:pPr>
              <w:spacing w:after="0"/>
              <w:rPr>
                <w:sz w:val="1"/>
                <w:szCs w:val="1"/>
                <w:color w:val="auto"/>
              </w:rPr>
            </w:pPr>
          </w:p>
        </w:tc>
      </w:tr>
      <w:tr>
        <w:trPr>
          <w:trHeight w:val="213"/>
        </w:trPr>
        <w:tc>
          <w:tcPr>
            <w:tcW w:w="5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benefits</w:t>
            </w:r>
          </w:p>
        </w:tc>
        <w:tc>
          <w:tcPr>
            <w:tcW w:w="0" w:type="dxa"/>
            <w:vAlign w:val="bottom"/>
          </w:tcPr>
          <w:p>
            <w:pPr>
              <w:spacing w:after="0"/>
              <w:rPr>
                <w:sz w:val="1"/>
                <w:szCs w:val="1"/>
                <w:color w:val="auto"/>
              </w:rPr>
            </w:pPr>
          </w:p>
        </w:tc>
      </w:tr>
      <w:tr>
        <w:trPr>
          <w:trHeight w:val="165"/>
        </w:trPr>
        <w:tc>
          <w:tcPr>
            <w:tcW w:w="54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220" w:type="dxa"/>
            <w:vAlign w:val="bottom"/>
            <w:shd w:val="clear" w:color="auto" w:fill="CCEEFF"/>
          </w:tcPr>
          <w:p>
            <w:pPr>
              <w:spacing w:after="0"/>
              <w:rPr>
                <w:sz w:val="14"/>
                <w:szCs w:val="14"/>
                <w:color w:val="auto"/>
              </w:rPr>
            </w:pPr>
          </w:p>
        </w:tc>
        <w:tc>
          <w:tcPr>
            <w:tcW w:w="1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6"/>
        </w:trPr>
        <w:tc>
          <w:tcPr>
            <w:tcW w:w="54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07"/>
        </w:trPr>
        <w:tc>
          <w:tcPr>
            <w:tcW w:w="54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reclassifications, net of tax</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362</w:t>
            </w:r>
          </w:p>
        </w:tc>
        <w:tc>
          <w:tcPr>
            <w:tcW w:w="100" w:type="dxa"/>
            <w:vAlign w:val="bottom"/>
          </w:tcPr>
          <w:p>
            <w:pPr>
              <w:spacing w:after="0"/>
              <w:rPr>
                <w:sz w:val="17"/>
                <w:szCs w:val="17"/>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Operating Expense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operating expense from the Consolidated Statements of Income for the three months ended March 31, 2026, and March 31, 2025,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7"/>
                <w:szCs w:val="17"/>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 tax credit amortization</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related</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Consultant fees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fees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franchise tax</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Donation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10,425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merger-related expenses of $1.4 million and zero for the three months ended March 31, 2026 and March 31,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expenses are primarily included in the consultant fees, audit expense, legal expense, and other line items detailed in other operating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share-based incentive plan described below that allows it to offer a variety of equity compensation awards subject to approval. Total compensation cost that has been charged against income for restricted stock unit awards granted was $1.1 million and $1.3 million for the three months ended March 31, 2026, and March 31, 2025, respectively. The total income tax benefit was $248.5 thousand and $264.7 thousand for the three months ended March 31, 2026, and March 31, 2025,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2019 Stock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the Company’s Stock Incentive Plan (“2019 SIP”) was approved by the Bank’s Board of Directors (the “Bank Board”). The 2019 SIP provides for the issuance of share-based awards to directors and employees of the Company. The 2019 SIP authorized 240,000 units to be issued, and the Company’s practice is using authorized unissued shares to satisfy these share-based awards. Each unit represents a contingent right to receive one common share or an equivalent amount of cash, or a combination of the two, at the discretion of the Company. Currently, we have a sufficient number of authorized unissued shares to satisfy all outstanding equity awards.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Stock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a new stock incentive plan (“2023 SIP”) was approved by the Company’s Board of Directors (the “Board”) and shareholders. Since the plan’s shareholder approval date of March 30, 2023, no further share-based awards have been issued under the 2019 SIP. The 2023 SIP provides for the issuance of share-based awards to directors and employees of the Company. The 2023 SIP authorized the issuance of 250,000 shares, subject to an annual increase in available shares and shares recycled from the 2019 SIP that were cancelled. Based on our shares outstanding as of March 31, 2026, and awards that were recycled from the 2019 SIP, the total shares authorized for issuance under the plan as of March 31, 2026 was 474,578.</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58,605 and 77,441 shares were issued during the three months ended March 31, 2026, and March 31, 2025, respectively.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time-based RSUs, the fair value was determined by using the closing stock price on the date prior to the grant date. These RSUs vest over three to five years.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from time to time, approves performance-based RSU awards that may be earned between a three to five year performance period. Whether or not units are earned at the end of the performance period will be determined based on the achievement of performance and/or market targets (e.g., market capitalization target) over the performance period. If the conditions are achieved, the grant recipient will receive 100% of the units granted as these awards do not provide for a multiplier effect. The performance/market targets are determined by the Board.</w:t>
      </w:r>
    </w:p>
    <w:p>
      <w:pPr>
        <w:spacing w:after="0" w:line="2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w:t>
      </w:r>
    </w:p>
    <w:p>
      <w:pPr>
        <w:spacing w:after="0" w:line="1" w:lineRule="exact"/>
        <w:rPr>
          <w:sz w:val="20"/>
          <w:szCs w:val="20"/>
          <w:color w:val="auto"/>
        </w:rPr>
      </w:pPr>
    </w:p>
    <w:p>
      <w:pPr>
        <w:jc w:val="both"/>
        <w:ind w:firstLine="8"/>
        <w:spacing w:after="0" w:line="255"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all the Company’s RSU awards issued under both the 2019 SIP and 2023 SIP: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was $8.7 million of total unrecognized compensation costs related to non-vested shares granted under both the 2019 SIP and 2023 SIP. The cost is expected to be recognized over a weighted average period of 1.26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Employee Stock Purchase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an employee stock purchase plan (“2023 ESPP”) was approved by the Board and shareholders. Upon the 2023 ESPP’s shareholder approval date of March 30, 2023, the 2023 ESPP reserved 250,000 shares of common stock for issuance to employees, subject to an annual increase in reserved shares. At March 31, 2026, total shares authorized for issuance were 473,978 and 442,165 shares were available to be issued. Whole shares are sold to participants in the 2023 ESPP at 85% of the lower of the stock price at the beginning or end of each semi-annual offering period. The first semi-annual offering period began on September 1, 2023, and the current semi-annual offering period began on March 1, 2026. Eligible employees may purchase shares in an amount that does not exceed the lesser of the IRS limit of $25,000 or 15% of their annual salary.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for the 2023 ESPP for the three months ended March 31, 2026: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3"/>
        </w:trPr>
        <w:tc>
          <w:tcPr>
            <w:tcW w:w="9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price of shares purchased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recognized (in 000's)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 (“SARs”)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completion of the Summit Merger and as a part of the Summit Merger Agreement, Burke &amp; Herbert assumed SAR awards that had been issued to existing employees that would continue with the same terms and conditions adjusted for the exchange ratio of 0.5043. As part of the Summit Merger, a significant portion of SAR awards accelerated their vesting and thus did not require any future service component. Management used the Black-Scholes option-pricing model to fair value these accelerated SAR awards and included this value as part of the purchase price consideration.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used the Black-Scholes option-pricing model to fair value the non-accelerated SAR awards that were not fully vested. The SAR awards that have been assumed by the Company, were issued in 2019, 2021, and 2023, and these SAR awards become exercisable ratably over seven years (14.3% per year) and contractually expire ten years after the grant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Summit Merger, the Company determined the fair value per SAR using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2019 SAR</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2021 SAR</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 SAR</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years to full vesting</w:t>
            </w:r>
          </w:p>
        </w:tc>
        <w:tc>
          <w:tcPr>
            <w:tcW w:w="16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7 years</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7 years</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9"/>
                <w:szCs w:val="19"/>
                <w:color w:val="auto"/>
              </w:rPr>
            </w:pP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14.56</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common stock volatility</w:t>
            </w:r>
          </w:p>
        </w:tc>
        <w:tc>
          <w:tcPr>
            <w:tcW w:w="16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contractual life (in years)</w:t>
            </w:r>
          </w:p>
        </w:tc>
        <w:tc>
          <w:tcPr>
            <w:tcW w:w="1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900"/>
        </w:trPr>
        <w:tc>
          <w:tcPr>
            <w:tcW w:w="4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7"/>
        </w:trPr>
        <w:tc>
          <w:tcPr>
            <w:tcW w:w="4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SAR and option activity during the three months ended March 31, 2026,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69"/>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19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9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220" w:type="dxa"/>
            <w:vAlign w:val="bottom"/>
          </w:tcPr>
          <w:p>
            <w:pPr>
              <w:spacing w:after="0"/>
              <w:rPr>
                <w:sz w:val="15"/>
                <w:szCs w:val="15"/>
                <w:color w:val="auto"/>
              </w:rPr>
            </w:pPr>
          </w:p>
        </w:tc>
        <w:tc>
          <w:tcPr>
            <w:tcW w:w="15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information</w:t>
            </w:r>
          </w:p>
        </w:tc>
        <w:tc>
          <w:tcPr>
            <w:tcW w:w="10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(Yrs.)</w:t>
            </w:r>
          </w:p>
        </w:tc>
        <w:tc>
          <w:tcPr>
            <w:tcW w:w="22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2025</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(or acquired)</w:t>
            </w:r>
          </w:p>
        </w:tc>
        <w:tc>
          <w:tcPr>
            <w:tcW w:w="100" w:type="dxa"/>
            <w:vAlign w:val="bottom"/>
          </w:tcPr>
          <w:p>
            <w:pPr>
              <w:spacing w:after="0"/>
              <w:rPr>
                <w:sz w:val="19"/>
                <w:szCs w:val="19"/>
                <w:color w:val="auto"/>
              </w:rPr>
            </w:pPr>
          </w:p>
        </w:tc>
        <w:tc>
          <w:tcPr>
            <w:tcW w:w="19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9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2026</w:t>
            </w:r>
          </w:p>
        </w:tc>
        <w:tc>
          <w:tcPr>
            <w:tcW w:w="100" w:type="dxa"/>
            <w:vAlign w:val="bottom"/>
            <w:tcBorders>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164,268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8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SARs:</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March 31, 2026</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SARs exercised was $328.6 thousand during the three months ended March 31, 2026. The total fair value of SARs vested was $73.2 thousand during the three months ended March 31, 2026. As of March 31, 2026, there was $225.6 thousand of total unrecognized compensation costs related to non-vested SARs acquired through the Summit Merger. The cost is expected to be recognized over a weighted average period of 1.96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Earnings Per Share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Basic earnings per share excludes dilution and is computed by dividing net income applicable to common shares by the weighted average number of common shares outstanding for the period. Diluted earnings per share reflects the potential impact of contingently issuable shares. The Company uses the treasury stock method as described by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each dilutive instrument when computing diluted earnings per share.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shows the weighted average number of shares used in computing earnings per share and the effect of weighted average number of shares dilutive potential common stock. Dilutive potential common stock has no effect on income available to common shareholders.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shares (in thousands)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26,976</w:t>
            </w:r>
          </w:p>
        </w:tc>
      </w:tr>
      <w:tr>
        <w:trPr>
          <w:trHeight w:val="270"/>
        </w:trPr>
        <w:tc>
          <w:tcPr>
            <w:tcW w:w="8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14,976,483</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effect of dilutive shares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dilutive shares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15,131,481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15,026,376</w:t>
            </w:r>
          </w:p>
        </w:tc>
      </w:tr>
      <w:tr>
        <w:trPr>
          <w:trHeight w:val="250"/>
        </w:trPr>
        <w:tc>
          <w:tcPr>
            <w:tcW w:w="8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bl>
    <w:p>
      <w:pPr>
        <w:spacing w:after="0" w:line="2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awards equivalent to 9,816 and 41,553 shares of common stock were not considered in computing diluted earnings per common share for the three months ended March 31, 2026, and March 31, 2025, respectively, because they are antidilutive.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goodwill for the three months ended March 31, 2026, and March 31, 2025,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8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adjustment</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9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36,253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32,842</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$32.8 million of goodwill associated with the Summit Merger. During the three months ended March 31, 2026, the Company recorded $2.1 million of additional goodwill associated with the acquisition of Burke &amp; Herbert Wealth Services, LLC, formerly known as Piedmont Wealth Management.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performs the annual goodwill impairment test on September 30 every year.</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intangible assets consist of the core deposit intangible which is being amortized on an accelerated basis over its estimated useful life of 7 years. At the date of the Summit Merger, the Company recorded $68.8 million of core deposit intangibles associated with the Summit Merger.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carrying amounts and accumulated amortization of other intangible assets for the three months ended March 31, 2026, and March 31, 2025,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8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deposit intangible acquired</w:t>
            </w:r>
          </w:p>
        </w:tc>
        <w:tc>
          <w:tcPr>
            <w:tcW w:w="9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9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core deposit intangible</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38,063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53,002</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other intangible assets for possible impairment whenever events or changes in circumstances indicate that the carrying amounts may not be recoverable. Total amortization expense associated with intangible assets was $3.7 million and $4.3 million for the three months ended March 31, 2026, and March 31, 2025,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future years is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23"/>
        </w:trPr>
        <w:tc>
          <w:tcPr>
            <w:tcW w:w="466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ending, December 31, 2026</w:t>
            </w:r>
          </w:p>
        </w:tc>
        <w:tc>
          <w:tcPr>
            <w:tcW w:w="4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38,063</w:t>
            </w:r>
          </w:p>
        </w:tc>
      </w:tr>
      <w:tr>
        <w:trPr>
          <w:trHeight w:val="898"/>
        </w:trPr>
        <w:tc>
          <w:tcPr>
            <w:tcW w:w="4660" w:type="dxa"/>
            <w:vAlign w:val="bottom"/>
          </w:tcPr>
          <w:p>
            <w:pPr>
              <w:spacing w:after="0"/>
              <w:rPr>
                <w:sz w:val="24"/>
                <w:szCs w:val="24"/>
                <w:color w:val="auto"/>
              </w:rPr>
            </w:pPr>
          </w:p>
        </w:tc>
        <w:tc>
          <w:tcPr>
            <w:tcW w:w="428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7"/>
        </w:trPr>
        <w:tc>
          <w:tcPr>
            <w:tcW w:w="466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performance is evaluated using consolidated net income. The Company operates in one segment – Community Banking and the financial performance of this one segment is used to make resource allocations and performance decisions. The Company’s Chief Executive Officer is in charge of allocating the Company’s resources and assessing performance, and has been identified as the chief operating decision maker. While the chief operating decision-maker monitors the revenue streams of the various products and services, operations are managed and financial performance is evaluated on a Company-wide basis. Individual operating results are not reviewed by senior management to make resource allocation or performance decisions. Therefore, all of the financial service operations are considered by management to be aggregated in one reportable operating segment.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consolidated financial condition and results of operations of the Company should be read in conjunction with the preceding consolidated financial statements and notes presented in </w:t>
      </w:r>
      <w:r>
        <w:rPr>
          <w:rFonts w:ascii="Times New Roman" w:cs="Times New Roman" w:eastAsia="Times New Roman" w:hAnsi="Times New Roman"/>
          <w:sz w:val="18"/>
          <w:szCs w:val="18"/>
          <w:u w:val="single" w:color="auto"/>
          <w:color w:val="0000FF"/>
        </w:rPr>
        <w:t>Item 1. Financial Statements</w:t>
      </w:r>
      <w:r>
        <w:rPr>
          <w:rFonts w:ascii="Times New Roman" w:cs="Times New Roman" w:eastAsia="Times New Roman" w:hAnsi="Times New Roman"/>
          <w:sz w:val="18"/>
          <w:szCs w:val="18"/>
          <w:color w:val="auto"/>
        </w:rPr>
        <w:t xml:space="preserve"> of this Form 10-Q, as well as with the audited consolidated financial statements and notes for the year ended December 31, 2025, included in our Form 10-K filed with the SEC on February 27, 2026 (the “Form 10-K”).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10-Q contains statements that we believe are, or may be considered to be, “forward-looking statements,” within the meaning of the Private Securities Litigation Reform Act of 1995, Section 27A of the Securities Act of 1933, as amended, and Section 21E of the Securities Exchange Act of 1934, as amended, with respect to the beliefs, goals, intentions, and expectations of the Company regarding revenues, earnings, earnings per share, loan production, asset quality, and capital levels, among other matters; our estimates of future costs and benefits of the actions we may take; our assessments of expected losses on loans; our assessments of interest rate and other market risks; our ability to achieve our financial and other strategic goals; and other statements that are not historical facts.</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10-Q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Additionally, forward–looking statements speak only as of the date they are made; the Company does not assume any duty, does not undertake, and specifically disclaims any obligation to update such forward–looking statements, whether written or oral, that may be made from time to time, whether because of new information, future events, or otherwise, except as required by law. Furthermore, because forward–looking statements are subject to assumptions and uncertainties, actual results or future events could differ, possibly materially, from those indicated in or implied by such forward-looking statements because of a variety of factors, many of which are beyond the control of the Company. Further, factors identified herein are not necessarily all of the factors that could cause the Company’s actual results, performance or achievements to differ materially from those expressed in or implied by any of the forward-looking statements. Other factors, including unknown or unpredictable factors, also could harm the Company. Accordingly, you should consider all of these risks, uncertainties and other factors carefully in evaluating all such forward-looking statements made by the Company and not place undue reliance on forward-looking statements. The risks and uncertainties that could cause actual results to differ from those described in the forward-looking statements include, but are not limited to, the following: the possibility that the anticipated benefits of the LNKB Merger will not be realized when expected or at all, including as a result of the impact of, or problems arising from, the integration of the two companies or as a result of the strength of the economy and competitive factors in the areas where the Company does business; the possibility that we may be unable to achieve expected synergies and operating efficiencies of the LNKB Merger within the expected timeframes or at all and to successfully integrate LNKB’s operations and those of the Company; such integration may be more difficult, time-consuming or costly than expected; revenues following the LNKB Merger may be lower than expected; the Company’s success in executing its business plans and strategies and managing the risks involved in the foregoing; the dilution caused by the Company’s issuance of additional shares of its capital stock in connection with the LNKB Merger; costs or difficulties associated with newly developed or acquired operations; changes in general economic, political, or market trends (either nationally or locally in the areas in which we conduct, or will conduct, business), including inflation, changes in interest rates, market volatility and monetary fluctuations, and changes in federal government policies and practices, including the impact of the federal government shutdown that began in October 2025 and with respect to spending on industries concentrated in our market area, as well as the impact from recently announced and future tariffs on the markets we serve; increased competition; changes in consumer confidence and demand for financial services, including changes in consumer borrowing, repayment, investment,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and deposit practices; changes in asset quality and credit risk;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impact, extent and timing of technological changes; the effects of any cybersecurity breaches or events; the development and use of artificial intelligence (“AI”) in business processes, services, and products, including emerging external focus among regulators and other officials related to risks in connection with the development and use of AI; the potential adverse effects of unusual and infrequently occurring events, such as weather-related disasters, terrorist acts, geopolitical conflicts and tensions, or public health events (such as pandemics), and of governmental and societal responses thereto; and the other factors discussed in the “Risk Factors” and “Management's Discussion and Analysis of Financial Condition and Results of Operations” section of the Company's Annual Report on Form 10–K for the year ended December 31, 2025 and in Part I, Item 2. Management’s Discussion and Analysis of Financial Condition and Results of Operations and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in this Form 10-Q.</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Burke &amp; Herbert was organized as a Virginia corporation in 2022 to serve as the holding company for the Bank. Burke &amp; Herbert became a bank holding company when it commenced operations on October 1, 2022, following a reorganization transaction in which it acquired control of the Bank under the BHCA. This transaction was treated as an internal reorganization as all shareholders of the Bank became shareholders of Burke &amp; Herbert. Burke &amp; Herbert has no material operations other than owning the Bank. In September 2023, Burke &amp; Herbert elected to become a financial holding company under the BHCA. As a financial holding company of a Virginia state bank, Burke &amp; Herbert is subject to regulation, supervision, and examination by the Federal Reserve and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as of March 31, 2026,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had total consolidated assets of $7.9 billion, gross loans of $5.4 billion, total deposits of $6.3 billion, and total shareholders’ equity of $864.5 million. As of March 31, 2026, we had 830 full-time employees. None of our employees are covered by a collective bargaining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LINKBANCORP, Inc.</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Effective on May 1, 2026, Burke &amp; Herbert Financial Services Corp., a Virginia corporation, completed its previously announced merger with LINKBANCORP, Inc., a Pennsylvania corporation, pursuant to the LNKB Merger Agreement between Burke &amp; Herbert and LNKB. See </w:t>
      </w:r>
      <w:r>
        <w:rPr>
          <w:rFonts w:ascii="Times New Roman" w:cs="Times New Roman" w:eastAsia="Times New Roman" w:hAnsi="Times New Roman"/>
          <w:sz w:val="18"/>
          <w:szCs w:val="18"/>
          <w:u w:val="single" w:color="auto"/>
          <w:color w:val="0000FF"/>
        </w:rPr>
        <w:t>Note 1 - 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Business Activities and Significant Accounting Policies</w:t>
      </w:r>
      <w:r>
        <w:rPr>
          <w:rFonts w:ascii="Times New Roman" w:cs="Times New Roman" w:eastAsia="Times New Roman" w:hAnsi="Times New Roman"/>
          <w:sz w:val="18"/>
          <w:szCs w:val="18"/>
          <w:color w:val="000000"/>
        </w:rPr>
        <w:t>, in Notes to Consolidated Financial Statements for additional information regarding the LNKB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merger.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accounting and reporting policies conform to accounting principles generally accepted in the United States of America and conform to general practices within the industry in which we operate. To prepare financial statements in conformity with GAAP, management makes estimates, assumptions, and judgments based on available information. These estimates,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most significant accounting policies are presented in the notes to the accompanying consolidated financial statements. These policies, along with the other disclosures presented in the financial statement notes and in this financial review, provide information on how significant assets and liabilities are valued in the financial statements and how those values are determined. Based on the valuation techniques used and the sensitivity of financial statement amounts to the methods, assumptions, and estimates underlying those amounts, we have identified business combination and goodwill, the determination of the allowance for credit losses, and income taxes to be the accounting areas that require the most subjective or complex judgments, and as such, could be most subject to revision as new information becomes available.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and Goodwill</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acquisitions, we are required to record the assets acquired, including identified intangible assets such as core deposit intangibles, and the liabilities assumed at their respective fair values. The difference between consideration and the net fair value of assets acquired is recorded as goodwill. Management uses significant estimates and assumptions to value such items, including projected cash flows, repayment rates, default rates and losses assuming default, discount rates, and realizable collateral values. The allowance for credit losses for purchased credit deteriorated (“PCD”) and purchased seasoned loans (“PSL”) loans is recognized within acquisition accounting. The allowance for credit losses for non-PCD and non-PSL assets is recognized as provision for credit losses in the same reporting period as the acquisition. Fair value adjustments are amortized or accreted into the income statement over the estimated life of the acquired assets or assumed liabilities. The purchase date valuations and any subsequent adjustments determine the amount of goodwill recognized in connection with the acquisition. The use of different assumptions could produce significantly different valuation results, which could have material positive or negative effects on our results of operations. The carrying value of goodwill recorded must be reviewed for impairment on an annual basis, as well as on an interim basis if events or changes indicate that the asset might be impaired. An impairment loss must be recognized for any excess of carrying value over fair value of the goodwill.</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determination of fair values is based on valuations using management’s assumptions of future growth rates, future attrition, discount rates, multiples of earnings or other relevant factors. In addition, we engage third party specialists to assist in the development of fair values. Preliminary estimates of fair values may be adjusted for a period of time subsequent to the acquisition date if new information is obtained about facts and circumstances that existed as of the acquisition date that, if known, would have affected the measurement of the amounts recognized as of that date. Adjustments recorded during this period are recognized in the current reporting period. Management uses various valuation methodologies to estimate the fair value of these assets and liabilities, and often involves a significant degree of judgment, particularly when liquid markets do not exist for the particular item being valued. Examples of such items include loans, deposits, identifiable intangible assets, and certain other assets and liabilities.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these factors, as well as downturns in economic or business conditions, could have a significant adverse impact on the carrying value of assets, including goodwill and liabilities, which could result in impairment losses affecting our financial statements as a whole and our banking subsidiary in which the goodwill resides.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all expected credit losses for financial assets held at the reporting date based on historical experience, current conditions, and projections including reasonable and supportable, reversion, and post-reversion forecasts. It is a valuation account that is deducted from the financial assets’ amortized cost basis to present the net amount expected to be collected on the financial asset. Financial assets are charged-off against the allowance when management believes the uncollectibility of a financial asset is confirmed. Expected recoveries do not exceed the aggregate of amounts previously charged-off and expected to be charged-off.</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portfolio is the largest financial asset that is in scope of this critical accounting estimate. Determining the amount of the allowance for credit losses is considered a critical accounting estimate, because it is based on the evaluation of the size and current risk characteristics of the loan portfolio, past events, current conditions, reasonable and supportable forecasts, and prepayment experience as related to credit contractual terms. Management estimates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allowance balance using relevant available information from internal and external sources. Historical credit loss experience provides the basis for the estimation of expected credit losses; adjustments to historical loss information are made for differences in current loan-specific risk characteristics, such as differences in underwriting standards, portfolio mix, and delinquency levels, as well as for changes in environmental conditions, such as changes in unemployment rates, property values, or other relevant factors. The model methodology used for funded credits, along with taking into consideration the probability of drawdowns or funding on unfunded commitments and whether such commitments are irrevocable or not by the Company, is how the Company determines the allowance for credit losses for unfunded commitments. These evaluations are conducted at least quarterly and more frequently, if deemed necessary.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using an internally developed model that produces an estimate of the allowance for credit losses as the lifetime expected credit losses of the loan portfolio. This model uses a remaining useful life or weighted average remaining maturity (“WARM”) method within defined-contractual terms by federal call codes. The model forecasts net charge-off rates by call codes using ordinary least squares (“OLS”) regression models that use macroeconomic variables to forecast the Company’s and peer banks’ net charge-off rates. These models are used to produce reasonable and supportable forecasts of net charge-off rates. The macroeconomic variables utilized by the Company include variables that meet defined criteria in forecasting credit losses for our loan portfolio. These variables include, but are not limited to, unemployment rates, housing and commercial real estate prices, gross domestic product levels, equity market conditions or interest rates, as well as other variables that are portfolio-specific, such as those pertaining to commercial real estate or to residential loan portfolios. The Company sources the macroeconomic variables and the macroeconomic variable forecasts that it uses in its ACL model from the Standard &amp; Poor’s Global Market Intelligence and from CoStar Group.</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currently has set an initial reasonable and supportable forecast period of two years with subsequent immediate reversion to the historical average loss rates in remaining periods of the modeled contractual terms. Based on management’s analysis, adjustments may be applied for additional factors impacting the risk of loss in the loan portfolio beyond information used to calculate reasonable and supportable forecast and the subsequent reversion to historical loss information on collectively evaluated loans. As the reasonable and supportable forecast and reversion period forecast reflects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adjustments considered by management include the following: (i) management’s assessment of macroeconomic forecasts used in the model and how those forecasts align with management’s overall evaluation of current expected credit conditions; (ii) organization specific risks such as credit concentrations, collateral specific risks, nature and size of the portfolio, and external factors that may ultimately impact credit quality; and (iii) underwriting and delinquency trends. The qualitative factors applied at March 31, 2026, and the importance and levels of the qualitative factors applied, may change in future periods depending on the level of changes to items such as the uncertainty of economic conditions and management’s assessment of the level of credit risk within the loan portfolio as a result of such changes, compared to the amount of ACL calculated by the model. Management reviews supplemental data sources including historical net charge-off rates and data measuring other specific credit outcomes from its systems of record in supporting qualitative factors. However, qualitative factor evaluations are inherently imprecise and require significant management judgment.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Note 8 — Income Taxes, in Notes to the December 31, 2025, Consolidated Financial Statements of the Company for additional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and also present certain non-GAAP financial measures that exclude certain items or otherwise include components that differ from the most directly comparable measures calculated in accordance with U.S. GAAP. Non-GAAP measures are provided as additional useful information to assess our financial condition and results of operations (including period-to-period operating performance). These non-GAAP measures are not intended as a substitute for GAAP financial measures and may not be defined or calculated the same way as non-GAAP measures with similar names used by other companies. For more information, including the reconciliation of these non-GAAP financial measures to their corresponding GAAP financial measures, see the respective sections where the measures are presented.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Real Estate Sector Concentration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recent years, commercial real estate (“CRE”) markets have been impacted by economic disruptions, including those resulting from the effects of increases in remote work in urban centers and changes in the characteristics of certain urban centers. CRE loans are generally viewed as having a greater risk of default than other types of loans and depend on cash flows from the owner’s business or the property’s tenants to service the debt. The borrower’s cash flows may be affected significantly by general economic conditions. Adverse conditions in the real estate market or the general business climate and economy or in occupancy rates where the property is located could increase the likelihood of default. In particular, CRE office borrowers in central business districts have been impacted by decreased property valuations, oversupply due to remote work trends, and rising interest rates which has increased default rates and impeded their ability to secure new financing. CRE loans generally have large loan balances, and therefore, the deterioration of one or a few of these loans could cause a significant increase in the percentage of our non-performing loans. An increase in non-performing loans could result in a loss of earnings from these loans, an increase in the provision for loan losses, and an increase in charge-offs, all of which could have a material adverse effect on our financial condition and results of operations.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continues to monitor its commercial real estate portfolio by reviewing various credit risk and concentration reports. The Bank’s exposure to CRE at March 31, 2026, was $2.8 billion, or 51.9%, of its gross loan portfolio, not including owner-occupied commercial real estate and acquisition, construction &amp; development. Commercial real estate as a percent of total assets at March 31, 2026, was 35.4%, not including owner-occupied commercial real estate and acquisition, construction &amp; development. Including owner-occupied commercial real estate and acquisition, construction &amp; development, total exposure was at $3.7 billion, or 69.1%, of our total gross loans and 47.2% of total assets at March 31,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by portfolio segment amortized cost (in thousands) and by percentage of our total gross loan portfolio at March 31, 2026,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40" w:type="dxa"/>
            <w:vAlign w:val="bottom"/>
            <w:tcBorders>
              <w:bottom w:val="single" w:sz="8" w:color="auto"/>
            </w:tcBorders>
          </w:tcPr>
          <w:p>
            <w:pPr>
              <w:spacing w:after="0"/>
              <w:rPr>
                <w:sz w:val="18"/>
                <w:szCs w:val="18"/>
                <w:color w:val="auto"/>
              </w:rPr>
            </w:pPr>
          </w:p>
        </w:tc>
      </w:tr>
      <w:tr>
        <w:trPr>
          <w:trHeight w:val="211"/>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2,806,846</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51.9 %</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579,365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504,229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1,128,740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20.9</w:t>
            </w:r>
          </w:p>
        </w:tc>
      </w:tr>
      <w:tr>
        <w:trPr>
          <w:trHeight w:val="21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loans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5,404,667</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Monitoring of the CRE concentration is performed at both the loan level and at the portfolio level. The Credit Risk Management team provides management and the Board with periodic reports on the credit portfolio, which include the CRE portfolio (including owner-occupied CRE and acquisition, construction &amp; development loans). These reports provide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assessment of asset quality and risk rating migration and monitor concentrations against the board approved concentration limits (including sub-limits).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present the Company’s commercial real estate, owner-occupied commercial real estate, and acquisition, construction &amp; development portfolios by collateral type and geographic location as of March 31, 2026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gridSpan w:val="14"/>
          </w:tcPr>
          <w:p>
            <w:pPr>
              <w:ind w:left="420"/>
              <w:spacing w:after="0"/>
              <w:rPr>
                <w:sz w:val="20"/>
                <w:szCs w:val="20"/>
                <w:color w:val="auto"/>
              </w:rPr>
            </w:pPr>
            <w:r>
              <w:rPr>
                <w:rFonts w:ascii="Times New Roman" w:cs="Times New Roman" w:eastAsia="Times New Roman" w:hAnsi="Times New Roman"/>
                <w:sz w:val="16"/>
                <w:szCs w:val="16"/>
                <w:b w:val="1"/>
                <w:bCs w:val="1"/>
                <w:color w:val="auto"/>
              </w:rPr>
              <w:t>Commercial Real Estate by Collateral Type and Geographic Location</w:t>
            </w:r>
          </w:p>
        </w:tc>
        <w:tc>
          <w:tcPr>
            <w:tcW w:w="1360" w:type="dxa"/>
            <w:vAlign w:val="bottom"/>
            <w:tcBorders>
              <w:bottom w:val="single" w:sz="8" w:color="auto"/>
            </w:tcBorders>
          </w:tcPr>
          <w:p>
            <w:pPr>
              <w:spacing w:after="0"/>
              <w:rPr>
                <w:sz w:val="18"/>
                <w:szCs w:val="18"/>
                <w:color w:val="auto"/>
              </w:rPr>
            </w:pPr>
          </w:p>
        </w:tc>
      </w:tr>
      <w:tr>
        <w:trPr>
          <w:trHeight w:val="211"/>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WV</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308,099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97,696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93,640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601,129</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21.4 %</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464,716</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522,984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Hotels/Motels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371,922</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288,313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119,316</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Nursing-Assisted Living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111,260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36,332</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171,739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263,151</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r>
      <w:tr>
        <w:trPr>
          <w:trHeight w:val="21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1,402,156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314,842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370,781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2,806,846</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80"/>
              <w:spacing w:after="0"/>
              <w:rPr>
                <w:sz w:val="20"/>
                <w:szCs w:val="20"/>
                <w:color w:val="auto"/>
              </w:rPr>
            </w:pPr>
            <w:r>
              <w:rPr>
                <w:rFonts w:ascii="Times New Roman" w:cs="Times New Roman" w:eastAsia="Times New Roman" w:hAnsi="Times New Roman"/>
                <w:sz w:val="16"/>
                <w:szCs w:val="16"/>
                <w:b w:val="1"/>
                <w:bCs w:val="1"/>
                <w:color w:val="auto"/>
              </w:rPr>
              <w:t>Owner-Occupied Commercial Real Estate by Collateral Type and Geographic Location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WV</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111,390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Churches/Religious Organizations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65"/>
        </w:trPr>
        <w:tc>
          <w:tcPr>
            <w:tcW w:w="26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Coal, oil, gas, and natural resource</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extraction</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School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160,204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302,705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126,416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67,218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81,769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579,365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60"/>
              <w:spacing w:after="0"/>
              <w:rPr>
                <w:sz w:val="20"/>
                <w:szCs w:val="20"/>
                <w:color w:val="auto"/>
              </w:rPr>
            </w:pPr>
            <w:r>
              <w:rPr>
                <w:rFonts w:ascii="Times New Roman" w:cs="Times New Roman" w:eastAsia="Times New Roman" w:hAnsi="Times New Roman"/>
                <w:sz w:val="16"/>
                <w:szCs w:val="16"/>
                <w:b w:val="1"/>
                <w:bCs w:val="1"/>
                <w:color w:val="auto"/>
              </w:rPr>
              <w:t>Acquisition, Construction &amp; Development by Collateral Type and Geographic Location</w:t>
            </w:r>
          </w:p>
        </w:tc>
        <w:tc>
          <w:tcPr>
            <w:tcW w:w="1160" w:type="dxa"/>
            <w:vAlign w:val="bottom"/>
            <w:tcBorders>
              <w:bottom w:val="single" w:sz="8" w:color="auto"/>
            </w:tcBorders>
          </w:tcPr>
          <w:p>
            <w:pPr>
              <w:spacing w:after="0"/>
              <w:rPr>
                <w:sz w:val="18"/>
                <w:szCs w:val="18"/>
                <w:color w:val="auto"/>
              </w:rPr>
            </w:pPr>
          </w:p>
        </w:tc>
      </w:tr>
      <w:tr>
        <w:trPr>
          <w:trHeight w:val="211"/>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WV</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131,112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37.2 %</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40.1</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For-Sale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149,007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85,064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52,266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352,686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3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 loans are monitored through various processes that include payment monitoring, financial reporting, and covenant compliance monitoring, and annual reviews for larger relationships. Furthermore, construction loans are monitored throughout the life of the project and the construction loan administration function is centralized within the Credit Risk Management team. Monitoring the market conditions is also an important component of prudent CRE risk management. Quarterly construction progress reviews are also completed on all acquisition, construction &amp; development loans. For each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management reviews the adequacy of the construction budget, adequacy of the interest reserve, pace of construction, and review of any loan covenants.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Bank believes its underwriting and monitoring standards for commercial real estate loans are sufficient to evaluate its loan portfolio and keep it from incurring significant losses. The largest concentration of the Bank’s commercial real estate loans are in Virginia (approximately 49.6%), and the Bank does not have significant exposure to any economic areas of the country that are underperforming the national economy. Additionally, the Bank’s overall exposure to the “Office Building / Condo” collateral type is 17.3% of total commercial real estate loans, including owner-occupied commercial real estate and acquisition, construction &amp; development. The Bank believes that the combined loan portfolio is well-diversified, generally seasoned, manageable, and will outperform the industry in terms of performance through the economic cycle; however, our underwriting, review, and monitoring cannot eliminate all of the risks related to these loans. For further discussion see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Management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 and Liability Management Committee (the “ALCO”) and to the Board. From time to time, management may change the frequency of such testing or update certain inputs as a result of abnormal market conditions.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Management believes that the current sources of liquidity are adequate to meet the Company’s requirements and plans for continued growth. See </w:t>
      </w:r>
      <w:r>
        <w:rPr>
          <w:rFonts w:ascii="Times New Roman" w:cs="Times New Roman" w:eastAsia="Times New Roman" w:hAnsi="Times New Roman"/>
          <w:sz w:val="18"/>
          <w:szCs w:val="18"/>
          <w:u w:val="single" w:color="auto"/>
          <w:color w:val="0000FF"/>
        </w:rPr>
        <w:t>Note 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Borrowed Funds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000000"/>
        </w:rPr>
        <w:t>, in Notes to Consolidated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438" w:lineRule="auto"/>
        <w:rPr>
          <w:sz w:val="20"/>
          <w:szCs w:val="20"/>
          <w:color w:val="auto"/>
        </w:rPr>
      </w:pPr>
      <w:r>
        <w:rPr>
          <w:rFonts w:ascii="Times New Roman" w:cs="Times New Roman" w:eastAsia="Times New Roman" w:hAnsi="Times New Roman"/>
          <w:sz w:val="18"/>
          <w:szCs w:val="18"/>
          <w:color w:val="auto"/>
        </w:rPr>
        <w:t xml:space="preserve">Financial Statements for additional information regarding outstanding balances of sources of liquidity and contractual commitments and obligations. </w:t>
      </w:r>
      <w:r>
        <w:rPr>
          <w:rFonts w:ascii="Times New Roman" w:cs="Times New Roman" w:eastAsia="Times New Roman" w:hAnsi="Times New Roman"/>
          <w:sz w:val="18"/>
          <w:szCs w:val="18"/>
          <w:b w:val="1"/>
          <w:bCs w:val="1"/>
          <w:i w:val="1"/>
          <w:iCs w:val="1"/>
          <w:color w:val="auto"/>
        </w:rPr>
        <w:t>Capital</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Applicable capital rules under the Basel III Framework require the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Framework also provide for a “counter-cyclical capital buffer” that is applicable to only certain covered institutions and does not have any current applicability to the Company or the Bank.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 Bank complied with all regulatory capital standards and qualifies as “well capitalized.” </w:t>
      </w:r>
      <w:r>
        <w:rPr>
          <w:rFonts w:ascii="Times New Roman" w:cs="Times New Roman" w:eastAsia="Times New Roman" w:hAnsi="Times New Roman"/>
          <w:sz w:val="18"/>
          <w:szCs w:val="18"/>
          <w:u w:val="single" w:color="auto"/>
          <w:color w:val="0000FF"/>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Regulatory Capital Matters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contains additional discussion and analysis regarding the Company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Bank’s regulatory capital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higher-than-normal rates in order to maintain an appropriate equity-to-assets ratio. Inflation also affects other expenses that tend to rise during periods of general inflation.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Financial Performance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detail elsewhere in this Report as well as with the audited consolidated financial statements and notes for the year ended December 31, 2025, included in our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will depend upon, among other things, the following factors that we manage or control:</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capital and liquidity, including: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maintain and, over time, grow our deposit base as a low-cost stable funding source,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and capital management to meet evolving regulatory capital, capital planning, stress testing, and liquidity standards,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take within the capital and other financial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credit risk and interest rate risk in our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attract customers and compete with other banks and financial services providers in our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implement strategic business objectives within the changing regulatory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and regulatory-related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critical accounting estimates and 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operational risks related to new products and services, changes in processes and procedures, or the implementation of new technology,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realizing the expected benefits of the LNKB Merger and integrating the operations and customers of LNKB, and continuing to efficiently satisfy the obligations associated with being a public company, all of which will require significant resources and management attention and may divert management’s attention from our business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volatility in markets, including the effects of pandemics, wars, political conflicts, political instability and uncertainty both in the U.S. and abroad, government spending policies, trade policies, including tariffs and tariff counter-measures, and other barriers to trade (including the threat of such actions), the availability of labor, supply chain volatility, and any actions taken to mitigate and manage such impacts;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or inactions (including assumptions about potential actions or inactions) by the Federal Reserve, U.S. Treasury, and other government agencies, including those that impact money supply and market interest rates and inflation;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and direction, timing, and magnitude of movement in interest rates and the shape of the interest rate yield curve;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functioning and other performance of and availability of liquidity in U.S. and global financial markets, including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changes in federal, state, and local governmental policy, including on the regulatory landscape, capital markets, employment and unemployment levels in our markets, taxes, infrastructure spending, and social programs;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 on our business and performance, including indirectly through impacts on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 credit spreads on asset valuations;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counterparties, and issuers to perform in accordance with contractual terms and the resulting impact on our asset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demand, utilization of credit commitments, and standby letters of credit;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customers and changes in customer behavior due to changing business and economic conditions or regulatory or legislative initiatives.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Risks related to these items, where material to the Company’s business, are discussed in the applicable sections of this Management’s Discussion and Analysis of Financial Condition and Results of Operation. For additional information on the risks we face, see </w:t>
      </w:r>
      <w:r>
        <w:rPr>
          <w:rFonts w:ascii="Times New Roman" w:cs="Times New Roman" w:eastAsia="Times New Roman" w:hAnsi="Times New Roman"/>
          <w:sz w:val="18"/>
          <w:szCs w:val="18"/>
          <w:u w:val="single" w:color="auto"/>
          <w:color w:val="0000FF"/>
        </w:rPr>
        <w:t>Part II, Item 1A. - 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contains selected historical consolidated financial data as of the dates and for the periods shown. The selected balance sheet data as of March 31, 2026, and March 31, 2025, and the selected income statement data for the three months ended March 31, 2026, and March 31, 2025, have been derived from our consolidated financial statements included elsewhere in this Form 10-Q and in other filings we have submitted with the SEC and should be read in conjunction with the other information contained in this Form 10-Q.</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Period Ended March 31,</w:t>
            </w:r>
          </w:p>
        </w:tc>
      </w:tr>
      <w:tr>
        <w:trPr>
          <w:trHeight w:val="21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ratios, share and per share data)</w:t>
            </w:r>
          </w:p>
        </w:tc>
        <w:tc>
          <w:tcPr>
            <w:tcW w:w="240" w:type="dxa"/>
            <w:vAlign w:val="bottom"/>
          </w:tcPr>
          <w:p>
            <w:pPr>
              <w:spacing w:after="0"/>
              <w:rPr>
                <w:sz w:val="18"/>
                <w:szCs w:val="18"/>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Condition Data:</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7,927,711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7,838,090</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148,846</w:t>
            </w:r>
          </w:p>
        </w:tc>
      </w:tr>
      <w:tr>
        <w:trPr>
          <w:trHeight w:val="21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 at fair value</w:t>
            </w:r>
          </w:p>
        </w:tc>
        <w:tc>
          <w:tcPr>
            <w:tcW w:w="2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1,826,037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1,436,869</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5,336,712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5,579,754</w:t>
            </w:r>
          </w:p>
        </w:tc>
      </w:tr>
      <w:tr>
        <w:trPr>
          <w:trHeight w:val="21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2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214,606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184,018</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132,289</w:t>
            </w:r>
          </w:p>
        </w:tc>
      </w:tr>
      <w:tr>
        <w:trPr>
          <w:trHeight w:val="21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6,332,265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6,541,871</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300,000</w:t>
            </w:r>
          </w:p>
        </w:tc>
      </w:tr>
      <w:tr>
        <w:trPr>
          <w:trHeight w:val="21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864,504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758,000</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shareholders’ equity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854,091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747,587</w:t>
            </w:r>
          </w:p>
        </w:tc>
      </w:tr>
    </w:tbl>
    <w:p>
      <w:pPr>
        <w:spacing w:after="0" w:line="26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Operating Data:</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105,456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110,786</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37,799</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71,843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72,987</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501</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10,023</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49,664</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33,303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32,845</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5,644</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shares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26,976</w:t>
            </w:r>
          </w:p>
        </w:tc>
      </w:tr>
      <w:tr>
        <w:trPr>
          <w:trHeight w:val="270"/>
        </w:trPr>
        <w:tc>
          <w:tcPr>
            <w:tcW w:w="8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basic</w:t>
            </w: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15,037,330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14,976,483</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diluted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15,131,481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15,026,376</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outstanding</w:t>
            </w: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15,045,941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14,982,807</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0.55</w:t>
            </w:r>
          </w:p>
        </w:tc>
      </w:tr>
      <w:tr>
        <w:trPr>
          <w:trHeight w:val="216"/>
        </w:trPr>
        <w:tc>
          <w:tcPr>
            <w:tcW w:w="81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stock dividend payout ratio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30.56 %</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common share (at period end)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w:t>
      </w:r>
    </w:p>
    <w:p>
      <w:pPr>
        <w:jc w:val="center"/>
        <w:ind w:left="81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219"/>
        </w:trPr>
        <w:tc>
          <w:tcPr>
            <w:tcW w:w="910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Return on average common equity </w:t>
            </w:r>
            <w:r>
              <w:rPr>
                <w:rFonts w:ascii="Times New Roman" w:cs="Times New Roman" w:eastAsia="Times New Roman" w:hAnsi="Times New Roman"/>
                <w:sz w:val="21"/>
                <w:szCs w:val="21"/>
                <w:color w:val="auto"/>
                <w:vertAlign w:val="superscript"/>
              </w:rPr>
              <w:t>(2)</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12.77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14.78</w:t>
            </w:r>
          </w:p>
        </w:tc>
      </w:tr>
      <w:tr>
        <w:trPr>
          <w:trHeight w:val="216"/>
        </w:trPr>
        <w:tc>
          <w:tcPr>
            <w:tcW w:w="91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spread </w:t>
            </w:r>
            <w:r>
              <w:rPr>
                <w:rFonts w:ascii="Times New Roman" w:cs="Times New Roman" w:eastAsia="Times New Roman" w:hAnsi="Times New Roman"/>
                <w:sz w:val="21"/>
                <w:szCs w:val="21"/>
                <w:color w:val="auto"/>
                <w:vertAlign w:val="superscript"/>
              </w:rPr>
              <w:t>(3)</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r>
      <w:tr>
        <w:trPr>
          <w:trHeight w:val="216"/>
        </w:trPr>
        <w:tc>
          <w:tcPr>
            <w:tcW w:w="91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(4)</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w:t>
            </w:r>
          </w:p>
        </w:tc>
      </w:tr>
      <w:tr>
        <w:trPr>
          <w:trHeight w:val="216"/>
        </w:trPr>
        <w:tc>
          <w:tcPr>
            <w:tcW w:w="91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1"/>
                <w:szCs w:val="21"/>
                <w:color w:val="auto"/>
                <w:vertAlign w:val="superscript"/>
              </w:rPr>
              <w:t>(5)</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60.67</w:t>
            </w:r>
          </w:p>
        </w:tc>
        <w:tc>
          <w:tcPr>
            <w:tcW w:w="8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59.83</w:t>
            </w:r>
          </w:p>
        </w:tc>
      </w:tr>
      <w:tr>
        <w:trPr>
          <w:trHeight w:val="270"/>
        </w:trPr>
        <w:tc>
          <w:tcPr>
            <w:tcW w:w="8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14"/>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8"/>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(CET 1) capital to risk-weighted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13.78 %</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11.77 %</w:t>
            </w:r>
          </w:p>
        </w:tc>
      </w:tr>
      <w:tr>
        <w:trPr>
          <w:trHeight w:val="21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16.52</w:t>
            </w:r>
          </w:p>
        </w:tc>
        <w:tc>
          <w:tcPr>
            <w:tcW w:w="8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14.79</w:t>
            </w:r>
          </w:p>
        </w:tc>
      </w:tr>
      <w:tr>
        <w:trPr>
          <w:trHeight w:val="219"/>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14.22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12.20</w:t>
            </w:r>
          </w:p>
        </w:tc>
      </w:tr>
      <w:tr>
        <w:trPr>
          <w:trHeight w:val="21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Tier 1 capital to average assets (leverage ratio)</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11.27</w:t>
            </w:r>
          </w:p>
        </w:tc>
        <w:tc>
          <w:tcPr>
            <w:tcW w:w="8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10.12</w:t>
            </w:r>
          </w:p>
        </w:tc>
      </w:tr>
      <w:tr>
        <w:trPr>
          <w:trHeight w:val="273"/>
        </w:trPr>
        <w:tc>
          <w:tcPr>
            <w:tcW w:w="8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14"/>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Ratios: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8"/>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coverage ratio</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r>
      <w:tr>
        <w:trPr>
          <w:trHeight w:val="21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86.50</w:t>
            </w:r>
          </w:p>
        </w:tc>
        <w:tc>
          <w:tcPr>
            <w:tcW w:w="8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104.63</w:t>
            </w:r>
          </w:p>
        </w:tc>
      </w:tr>
      <w:tr>
        <w:trPr>
          <w:trHeight w:val="219"/>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 to average outstanding loans during the period</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r>
      <w:tr>
        <w:trPr>
          <w:trHeight w:val="21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Non-performing loans as a percentage of total loans</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r>
      <w:tr>
        <w:trPr>
          <w:trHeight w:val="219"/>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assets as a percentage of total assets</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0.86</w:t>
            </w:r>
          </w:p>
        </w:tc>
      </w:tr>
      <w:tr>
        <w:trPr>
          <w:trHeight w:val="270"/>
        </w:trPr>
        <w:tc>
          <w:tcPr>
            <w:tcW w:w="8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6"/>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Number of full-service branches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9"/>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full-time equivalent employees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r>
    </w:tbl>
    <w:p>
      <w:pPr>
        <w:spacing w:after="0" w:line="247" w:lineRule="exact"/>
        <w:rPr>
          <w:sz w:val="20"/>
          <w:szCs w:val="20"/>
          <w:color w:val="auto"/>
        </w:rPr>
      </w:pPr>
    </w:p>
    <w:p>
      <w:pPr>
        <w:ind w:left="540" w:hanging="208"/>
        <w:spacing w:after="0"/>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dividend payout ratio represents per share dividends declared divided by diluted earnings per share.</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common equity computed using total average common equity at period-end.</w:t>
      </w:r>
    </w:p>
    <w:p>
      <w:pPr>
        <w:spacing w:after="0" w:line="122" w:lineRule="exact"/>
        <w:rPr>
          <w:rFonts w:ascii="Times New Roman" w:cs="Times New Roman" w:eastAsia="Times New Roman" w:hAnsi="Times New Roman"/>
          <w:sz w:val="14"/>
          <w:szCs w:val="14"/>
          <w:color w:val="auto"/>
        </w:rPr>
      </w:pPr>
    </w:p>
    <w:p>
      <w:pPr>
        <w:ind w:left="340" w:hanging="8"/>
        <w:spacing w:after="0" w:line="282" w:lineRule="auto"/>
        <w:tabs>
          <w:tab w:leader="none" w:pos="54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67"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represents non-interest expense as a percentage of the sum of net interest income and non-interest income.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4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Three Months Ended March 31, 2026, and March 31, 2025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applicable to common shares for the three months ended March 31, 2026, was $27.1 million, compared to net income applicable to common shares of $27.0 million during the three months ended March 31, 2025. The $0.1 million increase was due to a decrease in interest expense, and an increase in non-interest income, partially offset by a decrease in interest income, and an increase in non-interest expense for the three months ended March 31, 2026, compared to the three months ended March 31, 2025.</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decreased by $1.1 million to $71.8 million for the three months ended March 31, 2026, compared to $73.0 million for the three months ended March 31, 2025. The main driver for this decrease was results that reflect lower interest income, primarily related to lower accretion income, which was partially offset by lower interest expense when compared to the three months ended March 31, 2025.</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credit provision expense of $12.0 thousand compared to a provision of $501.0 thousand for the three months ended March 31, 2025. For the three months ended March 31, 2026, credit loss expense on loans and AFS securities was $213.0 thousand compared to $900.0 thousand for the three months ended March 31, 2025. For the three months ended March 31, 2026, credit loss expense on loans and AFS securities was offset by a credit expense recapture of $201.0 thousand on off-balance sheet credit exposures. For the three months ended March 31, 2025, credit loss expense on loans and AFS securities was offset by a credit expense recapture of $398.8 thousand on off-balance sheet credit exposures.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increased by $2.8 million, or 28.2%, to $12.9 million for the three months ended March 31, 2026, as compared to $10.0 million for the three months ended March 31, 2025. Increases in fiduciary and wealth management, net gains on securities, income from company-owned life insurance, and other non-interest income exceeded declines in service charges and fees income and bank debit and other card revenue for the three months ended March 31, 2026, compared to the three months ended March 31, 2025.</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increased by $1.7 million, or 3.5%, to $51.4 million for the three months ended March 31, 2026, as compared to $49.7 million for the three months ended March 31, 2025. The increase was primarily due to increases in salaries and wages, pensions and other employee benefits, equipment rentals, depreciation and maintenance, FDIC and other regulatory assessments and other operating expense for the three months ended March 31, 2026, compared to the three months ended March 31, 2025. The increases were partially offset by a decrease in core deposit intangible amortization for the three months ended March 31, 2026, compared to the three months ended March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interest income totaled $71.8 million for the three months ended March 31, 2026, compared to $73.0 million for the three months ended March 31, 2025. The decrease in net interest income was primarily driven by results that reflect lower interest income, primarily related to lower accretion income, partially offset by lower interest expense related to lower deposit rates when compared to the three months ended March 31, 2025. Accretion income associated with acquired loans totaled $6.8 million for the three months ended March 31, 2026, compared to $11.4 million for the three months ended March 31, 2025. Amortization expense associated with fair value marks for time deposits, subordinated debt, and trust preferred securities totaled $1.4 million for the three months ended March 31, 2026, compared to $2.2 million for the three months ended March 31,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net interest margin was 4.09% for the three months ended March 31, 2026, compared to 4.18% for the three months ended March 31, 2025. The decrease in tax-adjusted net interest margin was primarily driven by results that reflect lower interest income, primarily related to lower accretion income, partially offset by lower interest expense related to lower deposit rates, when compared to the three months ended March 31,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for the taxable loan portfolio was 6.64% for the three months ended March 31, 2026, compared to 6.96% for the three months ended March 31, 2025. The decrease was primarily the result of lower accretion income for three months ended March 31, 2026 compared to the three months ended March 31,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yield on the total investment securities portfolio was 4.05% for the three months ended March 31, 2026, compared to 3.85% for the three months ended March 31, 2025. The increase was primarily the result of an increase in balance of higher-yielding securities for the three months ended March 31, 2026, compared to the three months ended March 31,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interest-bearing deposits decreased to 2.16% during the three months ended March 31, 2026, from 2.53% during the three months ended March 31, 2025. The decrease was primarily due to lower market interest rates on deposit products reflecting decreases in the Federal Funds Rate and other market rates.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yield on our short-term borrowings for the three months ended March 31, 2026, was 3.78%, compared to 3.88% for the three months ended March 31, 2025. The decrease was due to decreases in the Federal Funds Rate and other short-term market rates and the addition of derivative swaps that decreased our cost of borrowing. The yield on our subordinated debt assumed in the Summit Merger was 10.46% for the three months ended March 31, 2026, compared to 9.85% for the three months ended March 31, 2025.</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three months ended March 31, 2026, and March 31, 2025, for comparison (dollars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 Yield /</w:t>
            </w:r>
          </w:p>
        </w:tc>
        <w:tc>
          <w:tcPr>
            <w:tcW w:w="18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8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80" w:type="dxa"/>
            <w:vAlign w:val="bottom"/>
          </w:tcPr>
          <w:p>
            <w:pPr>
              <w:spacing w:after="0"/>
              <w:rPr>
                <w:sz w:val="18"/>
                <w:szCs w:val="18"/>
                <w:color w:val="auto"/>
              </w:rPr>
            </w:pPr>
          </w:p>
        </w:tc>
        <w:tc>
          <w:tcPr>
            <w:tcW w:w="14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76"/>
        </w:trPr>
        <w:tc>
          <w:tcPr>
            <w:tcW w:w="25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Loans, gross </w:t>
            </w:r>
            <w:r>
              <w:rPr>
                <w:rFonts w:ascii="Times New Roman" w:cs="Times New Roman" w:eastAsia="Times New Roman" w:hAnsi="Times New Roman"/>
                <w:sz w:val="21"/>
                <w:szCs w:val="21"/>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5,380,967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88,083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5,651,937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97,031</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6.96 %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1"/>
                <w:szCs w:val="21"/>
                <w:color w:val="auto"/>
                <w:vertAlign w:val="superscript"/>
              </w:rPr>
              <w:t>(1)(2)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loans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5,383,870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88,134</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6.64</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5,655,994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97,090</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Interest-earning deposits and fed</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54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52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funds sold</w:t>
            </w: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 AFS securities and other</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1,128,486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10,513</w:t>
            </w:r>
          </w:p>
        </w:tc>
        <w:tc>
          <w:tcPr>
            <w:tcW w:w="154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1,039,391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15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AFS securities </w:t>
            </w:r>
            <w:r>
              <w:rPr>
                <w:rFonts w:ascii="Times New Roman" w:cs="Times New Roman" w:eastAsia="Times New Roman" w:hAnsi="Times New Roman"/>
                <w:sz w:val="21"/>
                <w:szCs w:val="21"/>
                <w:color w:val="auto"/>
                <w:vertAlign w:val="superscript"/>
              </w:rPr>
              <w:t>(3)(4)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securities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1,825,066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18,212</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1,475,180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13,998</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7,279,297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107,084</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7,171,931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111,667</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633,801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596,807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7,913,098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7,768,738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1,332,090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1,371,615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Interest-bearing demand</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11,816</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2.16 %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Money market &amp; savings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1,675,034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7,558</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1,633,307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1,044,605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8,001</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1,253,841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11,896</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5,005,845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5,103,391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31,851</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6,337,935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26,720</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6,475,006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31,851</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19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borrowings and 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496,501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debt borrowings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9.85</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5,590,325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33,613</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5,552,019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37,799</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871,688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750,830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7,913,098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7,768,738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Taxable-equivalent net interest income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73,471</w:t>
            </w:r>
          </w:p>
        </w:tc>
        <w:tc>
          <w:tcPr>
            <w:tcW w:w="10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73,868</w:t>
            </w:r>
          </w:p>
        </w:tc>
        <w:tc>
          <w:tcPr>
            <w:tcW w:w="80" w:type="dxa"/>
            <w:vAlign w:val="bottom"/>
            <w:vMerge w:val="restart"/>
            <w:shd w:val="clear" w:color="auto" w:fill="CCEEFF"/>
          </w:tcPr>
          <w:p>
            <w:pPr>
              <w:spacing w:after="0"/>
              <w:rPr>
                <w:sz w:val="14"/>
                <w:szCs w:val="14"/>
                <w:color w:val="auto"/>
              </w:rPr>
            </w:pPr>
          </w:p>
        </w:tc>
        <w:tc>
          <w:tcPr>
            <w:tcW w:w="144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3.55 %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spread </w:t>
            </w:r>
            <w:r>
              <w:rPr>
                <w:rFonts w:ascii="Times New Roman" w:cs="Times New Roman" w:eastAsia="Times New Roman" w:hAnsi="Times New Roman"/>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Taxable-equivalent net interest margin</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4.18 %</w:t>
            </w:r>
          </w:p>
        </w:tc>
        <w:tc>
          <w:tcPr>
            <w:tcW w:w="0" w:type="dxa"/>
            <w:vAlign w:val="bottom"/>
          </w:tcPr>
          <w:p>
            <w:pPr>
              <w:spacing w:after="0"/>
              <w:rPr>
                <w:sz w:val="1"/>
                <w:szCs w:val="1"/>
                <w:color w:val="auto"/>
              </w:rPr>
            </w:pPr>
          </w:p>
        </w:tc>
      </w:tr>
      <w:tr>
        <w:trPr>
          <w:trHeight w:val="108"/>
        </w:trPr>
        <w:tc>
          <w:tcPr>
            <w:tcW w:w="2560" w:type="dxa"/>
            <w:vAlign w:val="bottom"/>
          </w:tcPr>
          <w:p>
            <w:pPr>
              <w:ind w:left="180"/>
              <w:spacing w:after="0" w:line="108" w:lineRule="exact"/>
              <w:rPr>
                <w:sz w:val="20"/>
                <w:szCs w:val="20"/>
                <w:color w:val="auto"/>
              </w:rPr>
            </w:pPr>
            <w:r>
              <w:rPr>
                <w:rFonts w:ascii="Times New Roman" w:cs="Times New Roman" w:eastAsia="Times New Roman" w:hAnsi="Times New Roman"/>
                <w:sz w:val="11"/>
                <w:szCs w:val="11"/>
                <w:color w:val="auto"/>
              </w:rPr>
              <w:t>(6)</w:t>
            </w: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Taxable-equivalent net adjustment</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71,843</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72,987</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interest-earning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1,688,972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fair value of investment securities.</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122" w:lineRule="exact"/>
        <w:rPr>
          <w:rFonts w:ascii="Times New Roman" w:cs="Times New Roman" w:eastAsia="Times New Roman" w:hAnsi="Times New Roman"/>
          <w:sz w:val="14"/>
          <w:szCs w:val="14"/>
          <w:color w:val="auto"/>
        </w:rPr>
      </w:pPr>
    </w:p>
    <w:p>
      <w:pPr>
        <w:ind w:left="660" w:right="20" w:hanging="328"/>
        <w:spacing w:after="0" w:line="302"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FTE net interest income as a percent of average interest-earning assets for the period.</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FTE net interest income by total average earning assets. Net interest income, on an FTE basis, is a non-GAAP financial measure that the Company believes provides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9"/>
                <w:szCs w:val="19"/>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88,083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97,031</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Taxable AFS securities and other securities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AFS securities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110,786</w:t>
            </w:r>
          </w:p>
        </w:tc>
      </w:tr>
      <w:tr>
        <w:trPr>
          <w:trHeight w:val="216"/>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31,851</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37,799</w:t>
            </w:r>
          </w:p>
        </w:tc>
      </w:tr>
      <w:tr>
        <w:trPr>
          <w:trHeight w:val="199"/>
        </w:trPr>
        <w:tc>
          <w:tcPr>
            <w:tcW w:w="75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72,987</w:t>
            </w:r>
          </w:p>
        </w:tc>
      </w:tr>
      <w:tr>
        <w:trPr>
          <w:trHeight w:val="253"/>
        </w:trPr>
        <w:tc>
          <w:tcPr>
            <w:tcW w:w="7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r>
      <w:tr>
        <w:trPr>
          <w:trHeight w:val="212"/>
        </w:trPr>
        <w:tc>
          <w:tcPr>
            <w:tcW w:w="75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73,471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73,868</w:t>
            </w:r>
          </w:p>
        </w:tc>
      </w:tr>
    </w:tbl>
    <w:p>
      <w:pPr>
        <w:spacing w:after="0" w:line="166"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Yield/Rate and Volume Analysis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three months ended March 31, 2026, and March 31, 2025, are annualized using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Three Months Ended March 31, 2026, compared to March 31,</w:t>
      </w: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1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Dollar Increase (Decrease) Due to Change 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 Yield / Rate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6"/>
        </w:trPr>
        <w:tc>
          <w:tcPr>
            <w:tcW w:w="6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(8,956)</w:t>
            </w:r>
          </w:p>
        </w:tc>
      </w:tr>
      <w:tr>
        <w:trPr>
          <w:trHeight w:val="216"/>
        </w:trPr>
        <w:tc>
          <w:tcPr>
            <w:tcW w:w="6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AFS securities and other securities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&amp; savings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Brokered CDs &amp; 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(5,131)</w:t>
            </w:r>
          </w:p>
        </w:tc>
      </w:tr>
      <w:tr>
        <w:trPr>
          <w:trHeight w:val="19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6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Short-term borrowings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r>
      <w:tr>
        <w:trPr>
          <w:trHeight w:val="219"/>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Subordinated debt and 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borrowings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w:t>
            </w:r>
          </w:p>
        </w:tc>
      </w:tr>
      <w:tr>
        <w:trPr>
          <w:trHeight w:val="207"/>
        </w:trPr>
        <w:tc>
          <w:tcPr>
            <w:tcW w:w="660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r>
    </w:tbl>
    <w:p>
      <w:pPr>
        <w:spacing w:after="0" w:line="180"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loans and securities have been computed on a taxable-equivalent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interest income was $105.5 million for the three months ended March 31, 2026, compared to $110.8 million for the three months ended March 31, 2025, a decrease of 4.8%. The decrease in interest income was primarily due to lower accretion income when compared to the three months ended March 31, 2025. Interest income on loans decreased by $9.0 million and interest income on securities increased $3.1 million, for the three months ended March 31, 2026, compared to the three months ended March 31, 2025. Accretion income associated with acquired loans totaled $6.8 million for the three months ended March 31, 2026, compared to $11.4 million for the three months ended March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interest expense was $33.6 million for the three months ended March 31, 2026, compared to $37.8 million for the three months ended March 31, 2025. The decrease in interest expense was due to results that reflect lower rates on interest-bearing liabilities, and lower amortization expense associated with fair value marks for liabilities acquired in the Summit Merger. Interest expense on interest-bearing deposits decreased by $5.1 million for the three months ended March 31, 2026, compared to the three months ended March 31, 2025, due to lower market rates. Interest on subordinated debt acquired in the Summit Merger was $2.3 million for the three months ended March 31, 2026, compared to $2.7 million for the three months ended March 31, 2025. Interest expense on short-term borrowings amounted to $4.6 million for the three months ended March 31, 2026, compared to $3.2 million for the three months ended March 31, 2025, due to higher average balances. Amortization expense associated with fair value marks for time deposits, subordinated debt, and trust preferred securities totaled $1.4 million for the three months ended March 31, 2026, compared to $2.2 million for the three months ended March 31,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credit losses was $12.0 thousand for the three months ended March 31, 2026, compared to a provision of $501.0 thousand for the three months ended March 31, 2025. For the three months ended March 31, 2026, credit loss expense on loans and AFS securities was $213.0 thousand compared to $900.0 thousand for the three months ended March 31, 2025. For the three months ended March 31, 2026, credit loss expense on loans and AFS securities was offset by a credit expense recapture of $201.0 thousand on off-balance sheet credit exposures. For the three months ended March 31, 2025, credit loss expense on loans and AFS securities was offset by a credit expense recapture of $398.8 thousand on off-balance sheet credit exposures.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7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32.1 %</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1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(14.8)</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NM</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170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24.0</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debit and other card revenue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25.2</w:t>
            </w: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28.2 %</w:t>
            </w: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increased 28.2% for the three months ended March 31, 2026, compared to the three months ended March 31, 2025. The largest dollar increase was a $1.8 million increase in net gains on securities for the three months ended March 31, 2026, compared to the three months ended March 31, 2025. This increase was driven by an increase in sales in our AFS securities portfolio for the three months ended March 31, 2026, compared to the three months ended March 31, 2025. Increases in fiduciary and wealth management, income from company-owned life insurance, and other non-interest income exceeded declines in service charges and fees income and bank debit and other card revenue for the three months ended March 31, 2026, compared to the three months ended March 31, 2025. The fiduciary and wealth management increase was driven by increased wealth and fiduciary services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7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21,413</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20,941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ATM, card, and network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and other regulatory assessments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w:t>
            </w:r>
          </w:p>
        </w:tc>
      </w:tr>
      <w:tr>
        <w:trPr>
          <w:trHeight w:val="21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10,425</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14.4</w:t>
            </w: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51,381</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49,664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Non-interest expense increased $1.7 million, or 3.5%, for the three months ended March 31, 2026, compared to the three months ended March 31, 2025. The increase was primarily driven by increases in salaries and wages, pensions and other employee benefits, equipment rentals, depreciation and maintenance, FDIC and other regulatory assessments, and other operating expenses for the three months ended March 31, 2026, compared to the three months ended March 31, 2025. The largest dollar increase for the three months ended March 31, 2026, compared to the three months ended March 31, 2025 was a $1.3 million increase in other operating expenses, mostly driven by an increase in merger related expenses. The largest dollar decrease was a $614.0 thousand decrease in core deposit intangible amortization which declined due to its accelerated amortization method. See </w:t>
      </w:r>
      <w:r>
        <w:rPr>
          <w:rFonts w:ascii="Times New Roman" w:cs="Times New Roman" w:eastAsia="Times New Roman" w:hAnsi="Times New Roman"/>
          <w:sz w:val="18"/>
          <w:szCs w:val="18"/>
          <w:u w:val="single" w:color="auto"/>
          <w:color w:val="0000FF"/>
        </w:rPr>
        <w:t>Note 13 —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Operating Expense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further information on “Other” non-interest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was $6.0 million for the three months ended March 31, 2026, an increase of $310.0 thousand from the tax expense of $5.6 million for the three months ended March 31, 2025. The increase was mostly due to additional state taxes incurred in the combined market area after the Summit Merger, for the three months ended March 31, 2026, when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compared to the three months ended March 31, 2025. For the three months ended March 31, 2026, the effective tax rate was 17.9%, while the effective tax rate was 17.2% for March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 for the Period Ended March 31, 2026, and December 31, 2025</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increased by $7.1 million to $7.9 billion as of March 31, 2026, compared to $7.9 billion as of December 31, 2025. Loans, net of ACL, was essentially flat at $5.3 billion as of March 31, 2026, increasing by $16.9 million from December 31, 2025. Deposits decreased by $71.7 million and amounted to $6.3 billion at March 31, 2026, compared to $6.4 billion at December 31, 2025. Short-term borrowings increased by $75.0 million to $525.0 million as of March 31, 2026, compared to $450.0 million at December 31, 2025. Subordinated debt and subordinated debt owed to unconsolidated subsidiary trusts, which were assumed in the Summit Merger, totaled $88.8 million at March 31, 2026, compared to $87.5 million at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AFS.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three months ended March 31, 2026, the unrealized losses on our holdings increased $14.6 million from December 31, 2025.</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declines in market value were due to increases in interest rates and market movements and not due to credit factors. Therefore, the Company has concluded that the unrealized losses for the AFS securities do not require an ACL at March 31, 2026, or at December 31, 2025.</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amortized cost and fair market values for the total portfolio for each category of investment for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149,463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990,269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372,486</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71,684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98,377</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36,083</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1,912,515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90,408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1,826,037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159,088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150,124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922,574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218,092</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73,896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111,109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31,308</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1,687,817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80,682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1,615,954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maturity table below summarizes contractual maturities for our investment securities at March 31, 2026. The actual timing of principal payments may differ from remaining contractual maturities because obligors may have the right to repay certain obligations with or without penalties. The overall weighted average duration of the Company’s investment portfolio is 4.6 years at March 31, 2026. The weighted-average yield below represents the effective yield for the investment securities and is calculated based on the amortized cost of each security (dollars in thousands). Interest on securities below excludes tax-equivalent adjustments.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One Year or Less</w:t>
            </w:r>
          </w:p>
        </w:tc>
        <w:tc>
          <w:tcPr>
            <w:tcW w:w="180" w:type="dxa"/>
            <w:vAlign w:val="bottom"/>
          </w:tcPr>
          <w:p>
            <w:pPr>
              <w:spacing w:after="0"/>
              <w:rPr>
                <w:sz w:val="12"/>
                <w:szCs w:val="12"/>
                <w:color w:val="auto"/>
              </w:rPr>
            </w:pPr>
          </w:p>
        </w:tc>
        <w:tc>
          <w:tcPr>
            <w:tcW w:w="164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One to Five Years</w:t>
            </w:r>
          </w:p>
        </w:tc>
        <w:tc>
          <w:tcPr>
            <w:tcW w:w="200" w:type="dxa"/>
            <w:vAlign w:val="bottom"/>
          </w:tcPr>
          <w:p>
            <w:pPr>
              <w:spacing w:after="0"/>
              <w:rPr>
                <w:sz w:val="12"/>
                <w:szCs w:val="12"/>
                <w:color w:val="auto"/>
              </w:rPr>
            </w:pP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Five to Ten Years</w:t>
            </w:r>
          </w:p>
        </w:tc>
        <w:tc>
          <w:tcPr>
            <w:tcW w:w="200" w:type="dxa"/>
            <w:vAlign w:val="bottom"/>
          </w:tcPr>
          <w:p>
            <w:pPr>
              <w:spacing w:after="0"/>
              <w:rPr>
                <w:sz w:val="12"/>
                <w:szCs w:val="12"/>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After Ten Years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86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80" w:type="dxa"/>
            <w:vAlign w:val="bottom"/>
          </w:tcPr>
          <w:p>
            <w:pPr>
              <w:spacing w:after="0"/>
              <w:rPr>
                <w:sz w:val="9"/>
                <w:szCs w:val="9"/>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4"/>
              </w:rPr>
              <w:t>Amortized Cost</w:t>
            </w: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Average Yield</w:t>
            </w:r>
          </w:p>
        </w:tc>
        <w:tc>
          <w:tcPr>
            <w:tcW w:w="7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0" w:type="dxa"/>
            <w:vAlign w:val="bottom"/>
          </w:tcPr>
          <w:p>
            <w:pPr>
              <w:spacing w:after="0"/>
              <w:rPr>
                <w:sz w:val="1"/>
                <w:szCs w:val="1"/>
                <w:color w:val="auto"/>
              </w:rPr>
            </w:pPr>
          </w:p>
        </w:tc>
      </w:tr>
      <w:tr>
        <w:trPr>
          <w:trHeight w:val="148"/>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 Available-for-Sale</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158,733</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7"/>
              </w:rPr>
              <w:t>1.34 %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158,733</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97"/>
              </w:rPr>
              <w:t>1.34 %</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Obligations of states and municipalities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273,806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543,525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230,827</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1,054,158</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agency</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25,872</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26,284</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7,852</w:t>
            </w:r>
          </w:p>
        </w:tc>
        <w:tc>
          <w:tcPr>
            <w:tcW w:w="80" w:type="dxa"/>
            <w:vAlign w:val="bottom"/>
          </w:tcPr>
          <w:p>
            <w:pPr>
              <w:spacing w:after="0"/>
              <w:rPr>
                <w:sz w:val="14"/>
                <w:szCs w:val="1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60,008</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3.76</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82,568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267,098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27,721</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4.74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379,401</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4.20</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agency</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46,711</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25,754</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72,465</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4.89</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5.36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66,128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100,064</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4.58</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Asset-backed</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33,268</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14,854</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4.69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50,732</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4.88</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25,034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5.91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9,109</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9.52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36,954</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6.84</w:t>
            </w:r>
          </w:p>
        </w:tc>
        <w:tc>
          <w:tcPr>
            <w:tcW w:w="0" w:type="dxa"/>
            <w:vAlign w:val="bottom"/>
          </w:tcPr>
          <w:p>
            <w:pPr>
              <w:spacing w:after="0"/>
              <w:rPr>
                <w:sz w:val="1"/>
                <w:szCs w:val="1"/>
                <w:color w:val="auto"/>
              </w:rPr>
            </w:pPr>
          </w:p>
        </w:tc>
      </w:tr>
      <w:tr>
        <w:trPr>
          <w:trHeight w:val="163"/>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17,786</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4.69 %</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689,897</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2.96 %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929,323</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3.91 %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275,509</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3.56 %</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1,912,515</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w w:val="97"/>
              </w:rPr>
              <w:t>3.52 %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Times New Roman" w:cs="Times New Roman" w:eastAsia="Times New Roman" w:hAnsi="Times New Roman"/>
          <w:sz w:val="18"/>
          <w:szCs w:val="18"/>
          <w:u w:val="single" w:color="auto"/>
          <w:color w:val="0000FF"/>
        </w:rPr>
        <w:t>Note 3 — Loans</w:t>
      </w:r>
      <w:r>
        <w:rPr>
          <w:rFonts w:ascii="Times New Roman" w:cs="Times New Roman" w:eastAsia="Times New Roman" w:hAnsi="Times New Roman"/>
          <w:sz w:val="18"/>
          <w:szCs w:val="18"/>
          <w:color w:val="auto"/>
        </w:rPr>
        <w:t xml:space="preserve"> in Notes to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composition of our loan portfolio as of the dates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0"/>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2,806,846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2,769,287</w:t>
            </w:r>
          </w:p>
        </w:tc>
        <w:tc>
          <w:tcPr>
            <w:tcW w:w="0" w:type="dxa"/>
            <w:vAlign w:val="bottom"/>
          </w:tcPr>
          <w:p>
            <w:pPr>
              <w:spacing w:after="0"/>
              <w:rPr>
                <w:sz w:val="1"/>
                <w:szCs w:val="1"/>
                <w:color w:val="auto"/>
              </w:rPr>
            </w:pPr>
          </w:p>
        </w:tc>
      </w:tr>
      <w:tr>
        <w:trPr>
          <w:trHeight w:val="182"/>
        </w:trPr>
        <w:tc>
          <w:tcPr>
            <w:tcW w:w="7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579,365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593,120</w:t>
            </w:r>
          </w:p>
        </w:tc>
        <w:tc>
          <w:tcPr>
            <w:tcW w:w="0" w:type="dxa"/>
            <w:vAlign w:val="bottom"/>
          </w:tcPr>
          <w:p>
            <w:pPr>
              <w:spacing w:after="0"/>
              <w:rPr>
                <w:sz w:val="1"/>
                <w:szCs w:val="1"/>
                <w:color w:val="auto"/>
              </w:rPr>
            </w:pPr>
          </w:p>
        </w:tc>
      </w:tr>
      <w:tr>
        <w:trPr>
          <w:trHeight w:val="182"/>
        </w:trPr>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386,870</w:t>
            </w:r>
          </w:p>
        </w:tc>
        <w:tc>
          <w:tcPr>
            <w:tcW w:w="0" w:type="dxa"/>
            <w:vAlign w:val="bottom"/>
          </w:tcPr>
          <w:p>
            <w:pPr>
              <w:spacing w:after="0"/>
              <w:rPr>
                <w:sz w:val="1"/>
                <w:szCs w:val="1"/>
                <w:color w:val="auto"/>
              </w:rPr>
            </w:pPr>
          </w:p>
        </w:tc>
      </w:tr>
      <w:tr>
        <w:trPr>
          <w:trHeight w:val="182"/>
        </w:trPr>
        <w:tc>
          <w:tcPr>
            <w:tcW w:w="7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461,921</w:t>
            </w:r>
          </w:p>
        </w:tc>
        <w:tc>
          <w:tcPr>
            <w:tcW w:w="0" w:type="dxa"/>
            <w:vAlign w:val="bottom"/>
          </w:tcPr>
          <w:p>
            <w:pPr>
              <w:spacing w:after="0"/>
              <w:rPr>
                <w:sz w:val="1"/>
                <w:szCs w:val="1"/>
                <w:color w:val="auto"/>
              </w:rPr>
            </w:pPr>
          </w:p>
        </w:tc>
      </w:tr>
      <w:tr>
        <w:trPr>
          <w:trHeight w:val="182"/>
        </w:trPr>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1,128,740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1,127,684</w:t>
            </w:r>
          </w:p>
        </w:tc>
        <w:tc>
          <w:tcPr>
            <w:tcW w:w="0" w:type="dxa"/>
            <w:vAlign w:val="bottom"/>
          </w:tcPr>
          <w:p>
            <w:pPr>
              <w:spacing w:after="0"/>
              <w:rPr>
                <w:sz w:val="1"/>
                <w:szCs w:val="1"/>
                <w:color w:val="auto"/>
              </w:rPr>
            </w:pPr>
          </w:p>
        </w:tc>
      </w:tr>
      <w:tr>
        <w:trPr>
          <w:trHeight w:val="182"/>
        </w:trPr>
        <w:tc>
          <w:tcPr>
            <w:tcW w:w="7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48,794</w:t>
            </w:r>
          </w:p>
        </w:tc>
        <w:tc>
          <w:tcPr>
            <w:tcW w:w="0" w:type="dxa"/>
            <w:vAlign w:val="bottom"/>
          </w:tcPr>
          <w:p>
            <w:pPr>
              <w:spacing w:after="0"/>
              <w:rPr>
                <w:sz w:val="1"/>
                <w:szCs w:val="1"/>
                <w:color w:val="auto"/>
              </w:rPr>
            </w:pPr>
          </w:p>
        </w:tc>
      </w:tr>
      <w:tr>
        <w:trPr>
          <w:trHeight w:val="182"/>
        </w:trPr>
        <w:tc>
          <w:tcPr>
            <w:tcW w:w="7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gross</w:t>
            </w:r>
          </w:p>
        </w:tc>
        <w:tc>
          <w:tcPr>
            <w:tcW w:w="260" w:type="dxa"/>
            <w:vAlign w:val="bottom"/>
            <w:shd w:val="clear" w:color="auto" w:fill="CCEEFF"/>
          </w:tcPr>
          <w:p>
            <w:pPr>
              <w:spacing w:after="0"/>
              <w:rPr>
                <w:sz w:val="17"/>
                <w:szCs w:val="17"/>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5,404,667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5,387,676</w:t>
            </w:r>
          </w:p>
        </w:tc>
        <w:tc>
          <w:tcPr>
            <w:tcW w:w="0" w:type="dxa"/>
            <w:vAlign w:val="bottom"/>
          </w:tcPr>
          <w:p>
            <w:pPr>
              <w:spacing w:after="0"/>
              <w:rPr>
                <w:sz w:val="1"/>
                <w:szCs w:val="1"/>
                <w:color w:val="auto"/>
              </w:rPr>
            </w:pPr>
          </w:p>
        </w:tc>
      </w:tr>
      <w:tr>
        <w:trPr>
          <w:trHeight w:val="181"/>
        </w:trPr>
        <w:tc>
          <w:tcPr>
            <w:tcW w:w="7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60" w:type="dxa"/>
            <w:vAlign w:val="bottom"/>
          </w:tcPr>
          <w:p>
            <w:pPr>
              <w:spacing w:after="0"/>
              <w:rPr>
                <w:sz w:val="19"/>
                <w:szCs w:val="19"/>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(67,955)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(67,823)</w:t>
            </w:r>
          </w:p>
        </w:tc>
        <w:tc>
          <w:tcPr>
            <w:tcW w:w="0" w:type="dxa"/>
            <w:vAlign w:val="bottom"/>
          </w:tcPr>
          <w:p>
            <w:pPr>
              <w:spacing w:after="0"/>
              <w:rPr>
                <w:sz w:val="1"/>
                <w:szCs w:val="1"/>
                <w:color w:val="auto"/>
              </w:rPr>
            </w:pPr>
          </w:p>
        </w:tc>
      </w:tr>
      <w:tr>
        <w:trPr>
          <w:trHeight w:val="178"/>
        </w:trPr>
        <w:tc>
          <w:tcPr>
            <w:tcW w:w="7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5,336,712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5,319,853</w:t>
            </w:r>
          </w:p>
        </w:tc>
        <w:tc>
          <w:tcPr>
            <w:tcW w:w="0" w:type="dxa"/>
            <w:vAlign w:val="bottom"/>
          </w:tcPr>
          <w:p>
            <w:pPr>
              <w:spacing w:after="0"/>
              <w:rPr>
                <w:sz w:val="1"/>
                <w:szCs w:val="1"/>
                <w:color w:val="auto"/>
              </w:rPr>
            </w:pPr>
          </w:p>
        </w:tc>
      </w:tr>
      <w:tr>
        <w:trPr>
          <w:trHeight w:val="182"/>
        </w:trPr>
        <w:tc>
          <w:tcPr>
            <w:tcW w:w="73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portfolio, excluding ACL, at March 31, 2026, increased by $17.0 million from December 31, 2025, primarily due to growth in the commercial real estate and commercial &amp; industrial loan segments.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maturity distribution for total loans outstanding as of March 31, 2026. The maturity distribution is grouped by remaining scheduled principal payments that are due in the following periods. The principal balance of loans is indicated by both fixed and floating rate categories in the table below (in thousands).</w:t>
      </w:r>
    </w:p>
    <w:p>
      <w:pPr>
        <w:spacing w:after="0" w:line="15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Within One Year</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One Year to Five Years</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Five Years to 15 Years</w:t>
            </w: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After 15 Years</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286,860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183,699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1,037,733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471,230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221,911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319,638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283,616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2,806,846</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Owner-occupied commercial real</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38,085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92,282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579,365</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Acquisition, construction &amp;</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62,279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103,256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102,742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352,686</w:t>
            </w:r>
          </w:p>
        </w:tc>
        <w:tc>
          <w:tcPr>
            <w:tcW w:w="0" w:type="dxa"/>
            <w:vAlign w:val="bottom"/>
          </w:tcPr>
          <w:p>
            <w:pPr>
              <w:spacing w:after="0"/>
              <w:rPr>
                <w:sz w:val="1"/>
                <w:szCs w:val="1"/>
                <w:color w:val="auto"/>
              </w:rPr>
            </w:pPr>
          </w:p>
        </w:tc>
      </w:tr>
      <w:tr>
        <w:trPr>
          <w:trHeight w:val="195"/>
        </w:trPr>
        <w:tc>
          <w:tcPr>
            <w:tcW w:w="2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development</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207,295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116,265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84,891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504,229</w:t>
            </w:r>
          </w:p>
        </w:tc>
        <w:tc>
          <w:tcPr>
            <w:tcW w:w="0" w:type="dxa"/>
            <w:vAlign w:val="bottom"/>
          </w:tcPr>
          <w:p>
            <w:pPr>
              <w:spacing w:after="0"/>
              <w:rPr>
                <w:sz w:val="1"/>
                <w:szCs w:val="1"/>
                <w:color w:val="auto"/>
              </w:rPr>
            </w:pPr>
          </w:p>
        </w:tc>
      </w:tr>
      <w:tr>
        <w:trPr>
          <w:trHeight w:val="189"/>
        </w:trPr>
        <w:tc>
          <w:tcPr>
            <w:tcW w:w="25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commercial loans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1,327,376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696,948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4,243,126</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8,702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1,128,740</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1,533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32,801</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398,004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513,570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1,390,313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707,183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432,069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624,426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515,420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823,682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5,404,667</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 We regularly monitor the level of loan delinquencies and believe these levels are a key indicator of credit quality in our loan portfolio. We manage credit risk based on the risk profile of the borrower, repayment sources, underlying collateral, and other support given current events, economic conditions and expectations.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asset quality metrics remain within the Company’s risk profile with adequate reserve coverage. The Company’s nonaccrual loan balances increased by $3.7 million from December 31, 2025, while the Company’s loans 90 days past due and still accruing increased $577.0 thousand from December 31, 2025. The Company’s non-performing assets, which includes non-performing loans consisting of non-accrual loans, loans that are more than 90 days past due and still accruing, and other real estate owned as of March 31, 2026, totaled $81.7 million, an increase of $4.7 million from $76.9 million at December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non-performing assets as of March 31, 2026, and December 31, 2025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70,613</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90 days past due and still accruing</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w:t>
            </w: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74,236</w:t>
            </w:r>
          </w:p>
        </w:tc>
      </w:tr>
      <w:tr>
        <w:trPr>
          <w:trHeight w:val="216"/>
        </w:trPr>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w:t>
            </w:r>
          </w:p>
        </w:tc>
      </w:tr>
      <w:tr>
        <w:trPr>
          <w:trHeight w:val="199"/>
        </w:trPr>
        <w:tc>
          <w:tcPr>
            <w:tcW w:w="7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20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in </w:t>
      </w:r>
      <w:r>
        <w:rPr>
          <w:rFonts w:ascii="Times New Roman" w:cs="Times New Roman" w:eastAsia="Times New Roman" w:hAnsi="Times New Roman"/>
          <w:sz w:val="18"/>
          <w:szCs w:val="18"/>
          <w:u w:val="single" w:color="auto"/>
          <w:color w:val="0000FF"/>
        </w:rPr>
        <w:t>Note 1 — Nature of Business Activities and Significant Accounting Policies</w:t>
      </w:r>
      <w:r>
        <w:rPr>
          <w:rFonts w:ascii="Times New Roman" w:cs="Times New Roman" w:eastAsia="Times New Roman" w:hAnsi="Times New Roman"/>
          <w:sz w:val="18"/>
          <w:szCs w:val="18"/>
          <w:color w:val="auto"/>
        </w:rPr>
        <w:t xml:space="preserve"> in Notes to Consolidated Financial Statements for management’s approach to estimating the ACL.</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the ACL at a level deemed adequate by management for expected credit losses.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 provision expense of $213.0 thousand and a provision of $900.0 thousand on loans for the three months ended March 31, 2026, and March 31, 2025,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charged-off loans were $490.0 thousand and $1.4 million for the three months ended March 31, 2026, and March 31, 2025, respectively. Gross recoveries totaled $409.0 thousand and $237.0 thousand for the three months ended March 31, 2026, and March 31, 2025, respectively. The ACL as a percentage of gross loans, net of unearned income, was 1.26% and 1.20% as of March 31, 2026, and March 31, 2025,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credit loss experience by portfolio for the three months ended March 31, 2026, and 2025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9"/>
                <w:szCs w:val="19"/>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2"/>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outstanding at end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5,404,667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5,647,507</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of allowance at beginning of period</w:t>
            </w:r>
          </w:p>
        </w:tc>
        <w:tc>
          <w:tcPr>
            <w:tcW w:w="18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(67,823)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(68,040)</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established for acquired PCD Loans</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charged-off:</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687</w:t>
            </w: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8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611</w:t>
            </w:r>
          </w:p>
        </w:tc>
      </w:tr>
      <w:tr>
        <w:trPr>
          <w:trHeight w:val="212"/>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loans charged-off</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1,424</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 of loans charged-off:</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(132)</w:t>
            </w:r>
          </w:p>
        </w:tc>
      </w:tr>
      <w:tr>
        <w:trPr>
          <w:trHeight w:val="213"/>
        </w:trPr>
        <w:tc>
          <w:tcPr>
            <w:tcW w:w="8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recoveries of loans charged-off</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(237)</w:t>
            </w:r>
          </w:p>
        </w:tc>
      </w:tr>
      <w:tr>
        <w:trPr>
          <w:trHeight w:val="207"/>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loan charge-offs (recoveries)</w:t>
            </w:r>
          </w:p>
        </w:tc>
        <w:tc>
          <w:tcPr>
            <w:tcW w:w="18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1,187</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 for the period</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w:t>
            </w:r>
          </w:p>
        </w:tc>
      </w:tr>
      <w:tr>
        <w:trPr>
          <w:trHeight w:val="20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Ending allowance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(67,955)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(67,753)</w:t>
            </w:r>
          </w:p>
        </w:tc>
      </w:tr>
      <w:tr>
        <w:trPr>
          <w:trHeight w:val="253"/>
        </w:trPr>
        <w:tc>
          <w:tcPr>
            <w:tcW w:w="8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loans outstanding during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5,383,870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5,655,994</w:t>
            </w:r>
          </w:p>
        </w:tc>
      </w:tr>
      <w:tr>
        <w:trPr>
          <w:trHeight w:val="219"/>
        </w:trPr>
        <w:tc>
          <w:tcPr>
            <w:tcW w:w="80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Allowance coverage ratio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r>
      <w:tr>
        <w:trPr>
          <w:trHeight w:val="216"/>
        </w:trPr>
        <w:tc>
          <w:tcPr>
            <w:tcW w:w="8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charge-offs to average outstanding loans during the period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80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Allowance for credit losses as a percentage of non-performing loans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104.63</w:t>
            </w:r>
          </w:p>
        </w:tc>
      </w:tr>
    </w:tbl>
    <w:p>
      <w:pPr>
        <w:spacing w:after="0" w:line="180"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coverage ratio is calculated by dividing the ACL at the end of the period by gross loans, net of unearned income at the end of the period.</w:t>
      </w:r>
    </w:p>
    <w:p>
      <w:pPr>
        <w:spacing w:after="0" w:line="109"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charge-offs to average outstanding loans during the period is calculated by dividing total net loan charge-offs (recoveries) during the year by average gross loans outstanding during the year.</w:t>
      </w:r>
    </w:p>
    <w:p>
      <w:pPr>
        <w:spacing w:after="0" w:line="53"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as a percentage of non-performing loans ratio is calculated by dividing the ACL at the end of the period by non-accrual loans and loans 90 days past due and still accruing at the end of the period.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ACL by portfolio with a comparison of the percentage composition in relation to total ACL and allowance for credit losses and total loans as of March 31, 2026, and December 31, 2025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Allocated ACL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27,001</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24.68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8,191</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20.88</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67,955</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493"/>
        </w:trPr>
        <w:tc>
          <w:tcPr>
            <w:tcW w:w="6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Allocated Allowance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11.01</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20.93</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0.91</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67,823</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accrued interest and other liabilities on the Consolidated Balance Sheets. The Company’s use of derivative financial instruments is described more fully in </w:t>
      </w:r>
      <w:r>
        <w:rPr>
          <w:rFonts w:ascii="Times New Roman" w:cs="Times New Roman" w:eastAsia="Times New Roman" w:hAnsi="Times New Roman"/>
          <w:sz w:val="18"/>
          <w:szCs w:val="18"/>
          <w:u w:val="single" w:color="auto"/>
          <w:color w:val="0000FF"/>
        </w:rPr>
        <w:t>Note 9 — Derivatives</w:t>
      </w:r>
      <w:r>
        <w:rPr>
          <w:rFonts w:ascii="Times New Roman" w:cs="Times New Roman" w:eastAsia="Times New Roman" w:hAnsi="Times New Roman"/>
          <w:sz w:val="18"/>
          <w:szCs w:val="18"/>
          <w:color w:val="auto"/>
        </w:rPr>
        <w:t xml:space="preserve"> in Notes to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The Company has available secured lines of credit with the Federal Reserve Bank of Richmond, such as the Borrower-In-Custody program, the FHLB of Atlanta, and unsecured federal funds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lines of credit from correspondent banking relationships. The Company also utilizes brokered time deposits. For more discussion of brokered time deposits, see the Deposits heading below this section.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available unused borrowing capacity of $4.7 billion through its available lines of credit with the FHLB of Atlanta, the Federal Reserve Borrower-In-Custody Program line, and unsecured federal fund lines of credit from correspondent banking relationships. Advances on credit lines are secured by both securities and loans.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short-term borrowings as of the three months ended March 31, 2026, and December 31, 2025,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0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8"/>
                <w:szCs w:val="18"/>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2"/>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525,000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450,000</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w:t>
            </w:r>
          </w:p>
        </w:tc>
        <w:tc>
          <w:tcPr>
            <w:tcW w:w="200" w:type="dxa"/>
            <w:vAlign w:val="bottom"/>
          </w:tcPr>
          <w:p>
            <w:pPr>
              <w:spacing w:after="0"/>
              <w:rPr>
                <w:sz w:val="18"/>
                <w:szCs w:val="18"/>
                <w:color w:val="auto"/>
              </w:rPr>
            </w:pPr>
          </w:p>
        </w:tc>
        <w:tc>
          <w:tcPr>
            <w:tcW w:w="16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3.90%</w:t>
            </w:r>
          </w:p>
        </w:tc>
      </w:tr>
    </w:tbl>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long-term debt as of the three months ended March 31, 2026, and December 31, 2025,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0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70,222</w:t>
            </w: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17,268</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87,490</w:t>
            </w:r>
          </w:p>
        </w:tc>
      </w:tr>
      <w:tr>
        <w:trPr>
          <w:trHeight w:val="253"/>
        </w:trPr>
        <w:tc>
          <w:tcPr>
            <w:tcW w:w="7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9.85%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decreased by $71.7 million from December 31, 2025, to March 31, 2026, primarily due to a decrease in brokered deposits of $61.0 million. The Company’s brokered time deposits amounted to $3.4 million as of March 31, 2026, and $64.4 million at December 31, 2025. All of the Company’s brokered deposits are in the form of certificates of deposits that are insured by the FDIC. Excluding the brokered deposit balance, the total deposit balance decreased by $10.7 million from December 31, 2025 to March 31,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balance of each category of deposits as of the dates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7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non-interest-bearing</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1,367,050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1,336,380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interest-bearing</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2,243,090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2,330,181</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and savings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1,701,707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1,665,304</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64,410</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other</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1,016,987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1,007,666</w:t>
            </w:r>
          </w:p>
        </w:tc>
      </w:tr>
      <w:tr>
        <w:trPr>
          <w:trHeight w:val="20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4,965,215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5,067,561</w:t>
            </w: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6,332,265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6,403,941</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deposits that meet or exceed the FDIC insurance limit of $250,000 in the amounts of $2.1 billion and $2.1 billion at March 31, 2026, and December 31, 2025, respectively. The Company does not have material deposit concentration risk to any significant market, industry or individual at March 31, 2026 or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maturity ranges of time deposits as of March 31, 2026, that meet or exceed the FDIC insurance limit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1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3 months or less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120,826</w:t>
            </w:r>
          </w:p>
        </w:tc>
      </w:tr>
      <w:tr>
        <w:trPr>
          <w:trHeight w:val="213"/>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3 months and within 6 months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106,448</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6 months and within 12 months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65,648</w:t>
            </w:r>
          </w:p>
        </w:tc>
      </w:tr>
      <w:tr>
        <w:trPr>
          <w:trHeight w:val="213"/>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12 months</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9,316</w:t>
            </w:r>
          </w:p>
        </w:tc>
      </w:tr>
      <w:tr>
        <w:trPr>
          <w:trHeight w:val="21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uninsured, time deposits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302,238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shareholders’ equity at March 31, 2026, was $864.5 million, compared to $854.6 million at December 31, 2025. Shareholders’ equity increased by $9.9 million mostly due to an increase in earnings since December 31, 2025. Accumulated other comprehensive loss increased by $10.0 million from December 31, 2025, to March 31, 2026, from $(59.0) million to $(69.0) million due to an increase in unrealized losses in our securities portfolio.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hedge some or all of our interest rate risk will be successful. See </w:t>
      </w:r>
      <w:r>
        <w:rPr>
          <w:rFonts w:ascii="Times New Roman" w:cs="Times New Roman" w:eastAsia="Times New Roman" w:hAnsi="Times New Roman"/>
          <w:sz w:val="18"/>
          <w:szCs w:val="18"/>
          <w:u w:val="single" w:color="auto"/>
          <w:color w:val="0000FF"/>
        </w:rPr>
        <w:t>Note 9 - Derivatives</w:t>
      </w:r>
      <w:r>
        <w:rPr>
          <w:rFonts w:ascii="Times New Roman" w:cs="Times New Roman" w:eastAsia="Times New Roman" w:hAnsi="Times New Roman"/>
          <w:sz w:val="18"/>
          <w:szCs w:val="18"/>
          <w:color w:val="auto"/>
        </w:rPr>
        <w:t xml:space="preserve"> in Notes to Consolidated Financial Statements for a discussion of our hedging activity.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brokered time deposits.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income over the next 12 months. This simulation assumes that there is no growth in interest-earning assets or interest-bearing liabilities over the next 12 months.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20" w:type="dxa"/>
            <w:vAlign w:val="bottom"/>
          </w:tcPr>
          <w:p>
            <w:pPr>
              <w:jc w:val="center"/>
              <w:ind w:left="2935"/>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tcPr>
          <w:p>
            <w:pPr>
              <w:spacing w:after="0"/>
              <w:rPr>
                <w:sz w:val="19"/>
                <w:szCs w:val="19"/>
                <w:color w:val="auto"/>
              </w:rPr>
            </w:pPr>
          </w:p>
        </w:tc>
        <w:tc>
          <w:tcPr>
            <w:tcW w:w="3740" w:type="dxa"/>
            <w:vAlign w:val="bottom"/>
          </w:tcPr>
          <w:p>
            <w:pPr>
              <w:jc w:val="center"/>
              <w:ind w:left="2955"/>
              <w:spacing w:after="0"/>
              <w:rPr>
                <w:sz w:val="20"/>
                <w:szCs w:val="20"/>
                <w:color w:val="auto"/>
              </w:rPr>
            </w:pPr>
            <w:r>
              <w:rPr>
                <w:rFonts w:ascii="Times New Roman" w:cs="Times New Roman" w:eastAsia="Times New Roman" w:hAnsi="Times New Roman"/>
                <w:sz w:val="18"/>
                <w:szCs w:val="18"/>
                <w:color w:val="auto"/>
                <w:w w:val="98"/>
              </w:rPr>
              <w:t>(1.0)</w:t>
            </w: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2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374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2.3</w:t>
            </w:r>
          </w:p>
        </w:tc>
      </w:tr>
    </w:tbl>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Economic Value of Equity Analysis (“EVE”). </w:t>
      </w:r>
      <w:r>
        <w:rPr>
          <w:rFonts w:ascii="Times New Roman" w:cs="Times New Roman" w:eastAsia="Times New Roman" w:hAnsi="Times New Roman"/>
          <w:sz w:val="18"/>
          <w:szCs w:val="18"/>
          <w:color w:val="auto"/>
        </w:rPr>
        <w:t>We analyze the sensitivity of our financial condition to changes in interest rates through our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March 31, 2026, and December 31,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20" w:type="dxa"/>
            <w:vAlign w:val="bottom"/>
          </w:tcPr>
          <w:p>
            <w:pPr>
              <w:jc w:val="center"/>
              <w:ind w:left="2935"/>
              <w:spacing w:after="0"/>
              <w:rPr>
                <w:sz w:val="20"/>
                <w:szCs w:val="20"/>
                <w:color w:val="auto"/>
              </w:rPr>
            </w:pPr>
            <w:r>
              <w:rPr>
                <w:rFonts w:ascii="Times New Roman" w:cs="Times New Roman" w:eastAsia="Times New Roman" w:hAnsi="Times New Roman"/>
                <w:sz w:val="18"/>
                <w:szCs w:val="18"/>
                <w:color w:val="auto"/>
                <w:w w:val="98"/>
              </w:rPr>
              <w:t>(4.4)</w:t>
            </w:r>
          </w:p>
        </w:tc>
        <w:tc>
          <w:tcPr>
            <w:tcW w:w="100" w:type="dxa"/>
            <w:vAlign w:val="bottom"/>
          </w:tcPr>
          <w:p>
            <w:pPr>
              <w:spacing w:after="0"/>
              <w:rPr>
                <w:sz w:val="19"/>
                <w:szCs w:val="19"/>
                <w:color w:val="auto"/>
              </w:rPr>
            </w:pPr>
          </w:p>
        </w:tc>
        <w:tc>
          <w:tcPr>
            <w:tcW w:w="3740" w:type="dxa"/>
            <w:vAlign w:val="bottom"/>
          </w:tcPr>
          <w:p>
            <w:pPr>
              <w:jc w:val="center"/>
              <w:ind w:left="2955"/>
              <w:spacing w:after="0"/>
              <w:rPr>
                <w:sz w:val="20"/>
                <w:szCs w:val="20"/>
                <w:color w:val="auto"/>
              </w:rPr>
            </w:pPr>
            <w:r>
              <w:rPr>
                <w:rFonts w:ascii="Times New Roman" w:cs="Times New Roman" w:eastAsia="Times New Roman" w:hAnsi="Times New Roman"/>
                <w:sz w:val="18"/>
                <w:szCs w:val="18"/>
                <w:color w:val="auto"/>
                <w:w w:val="98"/>
              </w:rPr>
              <w:t>(3.8)</w:t>
            </w:r>
          </w:p>
        </w:tc>
        <w:tc>
          <w:tcPr>
            <w:tcW w:w="20" w:type="dxa"/>
            <w:vAlign w:val="bottom"/>
          </w:tcPr>
          <w:p>
            <w:pPr>
              <w:spacing w:after="0"/>
              <w:rPr>
                <w:sz w:val="19"/>
                <w:szCs w:val="19"/>
                <w:color w:val="auto"/>
              </w:rPr>
            </w:pPr>
          </w:p>
        </w:tc>
      </w:tr>
      <w:tr>
        <w:trPr>
          <w:trHeight w:val="229"/>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2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19"/>
                <w:szCs w:val="19"/>
                <w:color w:val="auto"/>
              </w:rPr>
            </w:pPr>
          </w:p>
        </w:tc>
        <w:tc>
          <w:tcPr>
            <w:tcW w:w="3740" w:type="dxa"/>
            <w:vAlign w:val="bottom"/>
          </w:tcPr>
          <w:p>
            <w:pPr>
              <w:jc w:val="center"/>
              <w:ind w:left="2975"/>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left="2975"/>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r>
      <w:tr>
        <w:trPr>
          <w:trHeight w:val="891"/>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jc w:val="right"/>
              <w:ind w:right="1575"/>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March 31, 2026. Based on their evaluation of the Company’s disclosure controls and procedures, the Company’s Chief Executive Officer and Chief Financial Officer have concluded that our disclosure controls and procedures are designed to ensure that information required to be disclosed by the Company in reports that it files or submits under the Exchange Act is recorded, processed, summarized and reported within the time periods specified in the SEC rules and regulations are designed and operating in an effective manner.</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operations, and from time to time, the Company and its subsidiary are parties to various legal claims, lawsuits, and proceedings incidental to the ordinary nature of the Company’s business. Currently, we are not party to any material legal proceedings, and no such proceedings are, to management’s knowledge, threatened against us. Although the ultimate outcome of any pending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 or otherwise require disclosure under the federal securities laws.</w:t>
      </w:r>
    </w:p>
    <w:p>
      <w:pPr>
        <w:spacing w:after="0" w:line="1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risk factors that were disclosed in Item 1A, under the caption “Risk Factors” in our Form 10-K for the year ended December 31, 2025.</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25, 2025, the Company announced that its Board authorized a share repurchase program pursuant to which the Company may purchase up to $50.0 million of the Company’s Common Stock in the open market or in privately negotiated transactions. The Company made no open market or private purchases for the three months ended March 31, 2026.</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that are registered by the Company pursuant to Section 12 of the Exchange Act for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3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80" w:type="dxa"/>
            <w:vAlign w:val="bottom"/>
          </w:tcPr>
          <w:p>
            <w:pPr>
              <w:spacing w:after="0"/>
              <w:rPr>
                <w:sz w:val="15"/>
                <w:szCs w:val="15"/>
                <w:color w:val="auto"/>
              </w:rPr>
            </w:pPr>
          </w:p>
        </w:tc>
        <w:tc>
          <w:tcPr>
            <w:tcW w:w="206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84"/>
        </w:trPr>
        <w:tc>
          <w:tcPr>
            <w:tcW w:w="256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20" w:type="dxa"/>
            <w:vAlign w:val="bottom"/>
            <w:gridSpan w:val="2"/>
            <w:vMerge w:val="continue"/>
          </w:tcPr>
          <w:p>
            <w:pPr>
              <w:spacing w:after="0"/>
              <w:rPr>
                <w:sz w:val="16"/>
                <w:szCs w:val="16"/>
                <w:color w:val="auto"/>
              </w:rPr>
            </w:pPr>
          </w:p>
        </w:tc>
        <w:tc>
          <w:tcPr>
            <w:tcW w:w="2000" w:type="dxa"/>
            <w:vAlign w:val="bottom"/>
            <w:gridSpan w:val="3"/>
            <w:vMerge w:val="continue"/>
          </w:tcPr>
          <w:p>
            <w:pPr>
              <w:spacing w:after="0"/>
              <w:rPr>
                <w:sz w:val="16"/>
                <w:szCs w:val="16"/>
                <w:color w:val="auto"/>
              </w:rPr>
            </w:pPr>
          </w:p>
        </w:tc>
        <w:tc>
          <w:tcPr>
            <w:tcW w:w="23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 plans or</w:t>
            </w:r>
          </w:p>
        </w:tc>
        <w:tc>
          <w:tcPr>
            <w:tcW w:w="22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30"/>
        </w:trPr>
        <w:tc>
          <w:tcPr>
            <w:tcW w:w="2560" w:type="dxa"/>
            <w:vAlign w:val="bottom"/>
            <w:gridSpan w:val="2"/>
            <w:vMerge w:val="continue"/>
          </w:tcPr>
          <w:p>
            <w:pPr>
              <w:spacing w:after="0"/>
              <w:rPr>
                <w:sz w:val="19"/>
                <w:szCs w:val="19"/>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(1) (2)</w:t>
            </w:r>
          </w:p>
        </w:tc>
        <w:tc>
          <w:tcPr>
            <w:tcW w:w="420" w:type="dxa"/>
            <w:vAlign w:val="bottom"/>
          </w:tcPr>
          <w:p>
            <w:pPr>
              <w:spacing w:after="0"/>
              <w:rPr>
                <w:sz w:val="19"/>
                <w:szCs w:val="19"/>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programs (2)</w:t>
            </w:r>
          </w:p>
        </w:tc>
        <w:tc>
          <w:tcPr>
            <w:tcW w:w="180" w:type="dxa"/>
            <w:vAlign w:val="bottom"/>
          </w:tcPr>
          <w:p>
            <w:pPr>
              <w:spacing w:after="0"/>
              <w:rPr>
                <w:sz w:val="19"/>
                <w:szCs w:val="19"/>
                <w:color w:val="auto"/>
              </w:rPr>
            </w:pPr>
          </w:p>
        </w:tc>
        <w:tc>
          <w:tcPr>
            <w:tcW w:w="2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or programs (3)</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 2026</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3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 2026</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 2026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0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hanging="328"/>
        <w:spacing w:after="0" w:line="282"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purchased during the period that were transferred to the Company from employees in satisfaction of minimum tax withholding obligations associated with the vesting of restricted stock units during the period.</w:t>
      </w:r>
    </w:p>
    <w:p>
      <w:pPr>
        <w:spacing w:after="0" w:line="67"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shares were purchased by the Company under any share repurchase program during the quarter ended March 31, 2026.</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share repurchase program was authorized on April 25, 2025.</w:t>
      </w:r>
    </w:p>
    <w:p>
      <w:pPr>
        <w:spacing w:after="0" w:line="3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4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994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 xml:space="preserve">Agreement and Plan of Merger between Burke &amp; Herbert Financial Services Corp. and LINKBANCORP,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w:t>
            </w:r>
          </w:p>
        </w:tc>
      </w:tr>
      <w:tr>
        <w:trPr>
          <w:trHeight w:val="210"/>
        </w:trPr>
        <w:tc>
          <w:tcPr>
            <w:tcW w:w="1120" w:type="dxa"/>
            <w:vAlign w:val="bottom"/>
            <w:tcBorders>
              <w:top w:val="single" w:sz="8" w:color="CCEEFF"/>
            </w:tcBorders>
            <w:shd w:val="clear" w:color="auto" w:fill="CCEEFF"/>
          </w:tcPr>
          <w:p>
            <w:pPr>
              <w:spacing w:after="0"/>
              <w:rPr>
                <w:sz w:val="18"/>
                <w:szCs w:val="18"/>
                <w:color w:val="auto"/>
              </w:rPr>
            </w:pPr>
          </w:p>
        </w:tc>
        <w:tc>
          <w:tcPr>
            <w:tcW w:w="7940" w:type="dxa"/>
            <w:vAlign w:val="bottom"/>
            <w:tcBorders>
              <w:top w:val="single" w:sz="8" w:color="0000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to Exhibit 2.1 to the Form 8-K, filed December 18, 2025)</w:t>
            </w:r>
          </w:p>
        </w:tc>
        <w:tc>
          <w:tcPr>
            <w:tcW w:w="1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9940" w:type="dxa"/>
            <w:vAlign w:val="bottom"/>
            <w:gridSpan w:val="17"/>
          </w:tcPr>
          <w:p>
            <w:pPr>
              <w:spacing w:after="0" w:line="18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 xml:space="preserve">Articles of Incorporation Burke &amp; Herbert Financial Services Corp. as amended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3.1 of the</w:t>
            </w:r>
          </w:p>
        </w:tc>
      </w:tr>
      <w:tr>
        <w:trPr>
          <w:trHeight w:val="209"/>
        </w:trPr>
        <w:tc>
          <w:tcPr>
            <w:tcW w:w="1120" w:type="dxa"/>
            <w:vAlign w:val="bottom"/>
          </w:tcPr>
          <w:p>
            <w:pPr>
              <w:spacing w:after="0"/>
              <w:rPr>
                <w:sz w:val="18"/>
                <w:szCs w:val="18"/>
                <w:color w:val="auto"/>
              </w:rPr>
            </w:pPr>
          </w:p>
        </w:tc>
        <w:tc>
          <w:tcPr>
            <w:tcW w:w="5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Registrant’s Form 10-Q filed August 13, 2024)</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994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 xml:space="preserve">Bylaws of Burke &amp; Herbert Financial Services Corp. as amended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3.1 to the Form 8-K, filed May 1,</w:t>
            </w:r>
          </w:p>
        </w:tc>
      </w:tr>
      <w:tr>
        <w:trPr>
          <w:trHeight w:val="210"/>
        </w:trPr>
        <w:tc>
          <w:tcPr>
            <w:tcW w:w="1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0000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1580" w:type="dxa"/>
            <w:vAlign w:val="bottom"/>
            <w:tcBorders>
              <w:top w:val="single" w:sz="8" w:color="0000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Employment Agreement dated August 24, 2023 by and between Burke &amp; Herbert Bank &amp; Trust Company and Bradford Ritchie.</w:t>
            </w:r>
          </w:p>
        </w:tc>
      </w:tr>
      <w:tr>
        <w:trPr>
          <w:trHeight w:val="21"/>
        </w:trPr>
        <w:tc>
          <w:tcPr>
            <w:tcW w:w="112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Employment Agreement dated August 24, 2023 by and between Burke &amp; Herbert Bank &amp; Trust Company and Robert S. Tissue.</w:t>
            </w: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9940" w:type="dxa"/>
            <w:vAlign w:val="bottom"/>
            <w:gridSpan w:val="17"/>
          </w:tcPr>
          <w:p>
            <w:pPr>
              <w:spacing w:after="0" w:line="18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Executive Salary Continuation Agreement dated January 1, 2008 and effective January 1, 2005 by and between Summit Community</w:t>
              </w:r>
            </w:hyperlink>
          </w:p>
        </w:tc>
      </w:tr>
      <w:tr>
        <w:trPr>
          <w:trHeight w:val="156"/>
        </w:trPr>
        <w:tc>
          <w:tcPr>
            <w:tcW w:w="1120" w:type="dxa"/>
            <w:vAlign w:val="bottom"/>
          </w:tcPr>
          <w:p>
            <w:pPr>
              <w:spacing w:after="0"/>
              <w:rPr>
                <w:sz w:val="13"/>
                <w:szCs w:val="13"/>
                <w:color w:val="auto"/>
              </w:rPr>
            </w:pPr>
          </w:p>
        </w:tc>
        <w:tc>
          <w:tcPr>
            <w:tcW w:w="95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Bank and H. Charles Maddy, III.</w:t>
              </w:r>
            </w:hyperlink>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4"/>
        </w:trPr>
        <w:tc>
          <w:tcPr>
            <w:tcW w:w="1120" w:type="dxa"/>
            <w:vAlign w:val="bottom"/>
          </w:tcPr>
          <w:p>
            <w:pPr>
              <w:spacing w:after="0"/>
              <w:rPr>
                <w:sz w:val="2"/>
                <w:szCs w:val="2"/>
                <w:color w:val="auto"/>
              </w:rPr>
            </w:pPr>
          </w:p>
        </w:tc>
        <w:tc>
          <w:tcPr>
            <w:tcW w:w="236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 xml:space="preserve">Executive </w:t>
              </w:r>
            </w:hyperlink>
            <w:r>
              <w:rPr>
                <w:rFonts w:ascii="Times New Roman" w:cs="Times New Roman" w:eastAsia="Times New Roman" w:hAnsi="Times New Roman"/>
                <w:sz w:val="18"/>
                <w:szCs w:val="18"/>
                <w:color w:val="0000FF"/>
              </w:rPr>
              <w:t xml:space="preserve">Salary </w:t>
            </w:r>
            <w:hyperlink r:id="rId96">
              <w:r>
                <w:rPr>
                  <w:rFonts w:ascii="Times New Roman" w:cs="Times New Roman" w:eastAsia="Times New Roman" w:hAnsi="Times New Roman"/>
                  <w:sz w:val="18"/>
                  <w:szCs w:val="18"/>
                  <w:color w:val="0000FF"/>
                </w:rPr>
                <w:t xml:space="preserve">Continuation </w:t>
              </w:r>
            </w:hyperlink>
            <w:r>
              <w:rPr>
                <w:rFonts w:ascii="Times New Roman" w:cs="Times New Roman" w:eastAsia="Times New Roman" w:hAnsi="Times New Roman"/>
                <w:sz w:val="18"/>
                <w:szCs w:val="18"/>
                <w:color w:val="0000FF"/>
              </w:rPr>
              <w:t xml:space="preserve">Agreement </w:t>
            </w:r>
            <w:hyperlink r:id="rId96">
              <w:r>
                <w:rPr>
                  <w:rFonts w:ascii="Times New Roman" w:cs="Times New Roman" w:eastAsia="Times New Roman" w:hAnsi="Times New Roman"/>
                  <w:sz w:val="18"/>
                  <w:szCs w:val="18"/>
                  <w:color w:val="0000FF"/>
                </w:rPr>
                <w:t>dated February 23, 2012 by and between Summit Community Bank and Bradford E. Ritchie.</w:t>
              </w:r>
            </w:hyperlink>
          </w:p>
        </w:tc>
      </w:tr>
      <w:tr>
        <w:trPr>
          <w:trHeight w:val="189"/>
        </w:trPr>
        <w:tc>
          <w:tcPr>
            <w:tcW w:w="11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9780" w:type="dxa"/>
            <w:vAlign w:val="bottom"/>
            <w:tcBorders>
              <w:top w:val="single" w:sz="8" w:color="0000FF"/>
            </w:tcBorders>
            <w:gridSpan w:val="15"/>
          </w:tcPr>
          <w:p>
            <w:pPr>
              <w:spacing w:after="0" w:line="18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Executive Salary Continuation Agreement dated January 1, 2008 and effective January 1, 2005 by and between Summit</w:t>
              </w:r>
            </w:hyperlink>
          </w:p>
        </w:tc>
        <w:tc>
          <w:tcPr>
            <w:tcW w:w="160" w:type="dxa"/>
            <w:vAlign w:val="bottom"/>
            <w:tcBorders>
              <w:top w:val="single" w:sz="8" w:color="CCEEFF"/>
            </w:tcBorders>
            <w:gridSpan w:val="2"/>
          </w:tcPr>
          <w:p>
            <w:pPr>
              <w:spacing w:after="0"/>
              <w:rPr>
                <w:sz w:val="16"/>
                <w:szCs w:val="16"/>
                <w:color w:val="auto"/>
              </w:rPr>
            </w:pPr>
          </w:p>
        </w:tc>
      </w:tr>
      <w:tr>
        <w:trPr>
          <w:trHeight w:val="156"/>
        </w:trPr>
        <w:tc>
          <w:tcPr>
            <w:tcW w:w="1120" w:type="dxa"/>
            <w:vAlign w:val="bottom"/>
          </w:tcPr>
          <w:p>
            <w:pPr>
              <w:spacing w:after="0"/>
              <w:rPr>
                <w:sz w:val="13"/>
                <w:szCs w:val="13"/>
                <w:color w:val="auto"/>
              </w:rPr>
            </w:pPr>
          </w:p>
        </w:tc>
        <w:tc>
          <w:tcPr>
            <w:tcW w:w="92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Financial Group, Inc. and Robert S. Tissue.</w:t>
              </w:r>
            </w:hyperlink>
          </w:p>
        </w:tc>
        <w:tc>
          <w:tcPr>
            <w:tcW w:w="180" w:type="dxa"/>
            <w:vAlign w:val="bottom"/>
            <w:gridSpan w:val="2"/>
          </w:tcPr>
          <w:p>
            <w:pPr>
              <w:spacing w:after="0"/>
              <w:rPr>
                <w:sz w:val="13"/>
                <w:szCs w:val="13"/>
                <w:color w:val="auto"/>
              </w:rPr>
            </w:pPr>
          </w:p>
        </w:tc>
        <w:tc>
          <w:tcPr>
            <w:tcW w:w="36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r>
      <w:tr>
        <w:trPr>
          <w:trHeight w:val="34"/>
        </w:trPr>
        <w:tc>
          <w:tcPr>
            <w:tcW w:w="1120" w:type="dxa"/>
            <w:vAlign w:val="bottom"/>
          </w:tcPr>
          <w:p>
            <w:pPr>
              <w:spacing w:after="0"/>
              <w:rPr>
                <w:sz w:val="2"/>
                <w:szCs w:val="2"/>
                <w:color w:val="auto"/>
              </w:rPr>
            </w:pPr>
          </w:p>
        </w:tc>
        <w:tc>
          <w:tcPr>
            <w:tcW w:w="2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Burke &amp; Herbert Financial Services Corp. 2019 Stock Incentive Plan Form of Restricted Stock Unit Award.</w:t>
            </w: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99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Burke &amp; Herbert Financial Services Corp. 2023 Stock Incentive Plan Form of Grant of Performance Restricted Stock Unit Awards.</w:t>
            </w:r>
          </w:p>
        </w:tc>
      </w:tr>
      <w:tr>
        <w:trPr>
          <w:trHeight w:val="20"/>
        </w:trPr>
        <w:tc>
          <w:tcPr>
            <w:tcW w:w="112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1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20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740" w:type="dxa"/>
            <w:vAlign w:val="bottom"/>
            <w:tcBorders>
              <w:bottom w:val="single" w:sz="8" w:color="CCEEFF"/>
            </w:tcBorders>
            <w:gridSpan w:val="10"/>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9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1"/>
        </w:trPr>
        <w:tc>
          <w:tcPr>
            <w:tcW w:w="112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1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40" w:type="dxa"/>
            <w:vAlign w:val="bottom"/>
            <w:tcBorders>
              <w:top w:val="single" w:sz="8" w:color="CCEEFF"/>
            </w:tcBorders>
            <w:shd w:val="clear" w:color="auto" w:fill="CCEEFF"/>
          </w:tcPr>
          <w:p>
            <w:pPr>
              <w:spacing w:after="0"/>
              <w:rPr>
                <w:sz w:val="13"/>
                <w:szCs w:val="13"/>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76"/>
        </w:trPr>
        <w:tc>
          <w:tcPr>
            <w:tcW w:w="1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The following materials from the registrant’s Form 10-Q Report for the quarterly period ended March 31, 2026, formatted in Inline</w:t>
            </w:r>
          </w:p>
        </w:tc>
      </w:tr>
      <w:tr>
        <w:trPr>
          <w:trHeight w:val="184"/>
        </w:trPr>
        <w:tc>
          <w:tcPr>
            <w:tcW w:w="1120" w:type="dxa"/>
            <w:vAlign w:val="bottom"/>
          </w:tcPr>
          <w:p>
            <w:pPr>
              <w:spacing w:after="0"/>
              <w:rPr>
                <w:sz w:val="16"/>
                <w:szCs w:val="16"/>
                <w:color w:val="auto"/>
              </w:rPr>
            </w:pPr>
          </w:p>
        </w:tc>
        <w:tc>
          <w:tcPr>
            <w:tcW w:w="994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auto"/>
              </w:rPr>
              <w:t>XBRL: (i) the Consolidated Balance Sheets, (ii) the Consolidated Statements of Income (Loss), (iii) the Consolidated Statements of</w:t>
            </w:r>
          </w:p>
        </w:tc>
      </w:tr>
      <w:tr>
        <w:trPr>
          <w:trHeight w:val="180"/>
        </w:trPr>
        <w:tc>
          <w:tcPr>
            <w:tcW w:w="1120" w:type="dxa"/>
            <w:vAlign w:val="bottom"/>
          </w:tcPr>
          <w:p>
            <w:pPr>
              <w:spacing w:after="0"/>
              <w:rPr>
                <w:sz w:val="15"/>
                <w:szCs w:val="15"/>
                <w:color w:val="auto"/>
              </w:rPr>
            </w:pPr>
          </w:p>
        </w:tc>
        <w:tc>
          <w:tcPr>
            <w:tcW w:w="9940" w:type="dxa"/>
            <w:vAlign w:val="bottom"/>
            <w:gridSpan w:val="17"/>
          </w:tcPr>
          <w:p>
            <w:pPr>
              <w:spacing w:after="0" w:line="181" w:lineRule="exact"/>
              <w:rPr>
                <w:sz w:val="20"/>
                <w:szCs w:val="20"/>
                <w:color w:val="auto"/>
              </w:rPr>
            </w:pPr>
            <w:r>
              <w:rPr>
                <w:rFonts w:ascii="Times New Roman" w:cs="Times New Roman" w:eastAsia="Times New Roman" w:hAnsi="Times New Roman"/>
                <w:sz w:val="18"/>
                <w:szCs w:val="18"/>
                <w:color w:val="auto"/>
              </w:rPr>
              <w:t>Comprehensive Income (Loss), (iv) the Consolidated Statements of Changes in Shareholders’ Equity, (v) the Consolidated Statements of</w:t>
            </w:r>
          </w:p>
        </w:tc>
      </w:tr>
      <w:tr>
        <w:trPr>
          <w:trHeight w:val="229"/>
        </w:trPr>
        <w:tc>
          <w:tcPr>
            <w:tcW w:w="1120" w:type="dxa"/>
            <w:vAlign w:val="bottom"/>
          </w:tcPr>
          <w:p>
            <w:pPr>
              <w:spacing w:after="0"/>
              <w:rPr>
                <w:sz w:val="19"/>
                <w:szCs w:val="19"/>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Cash Flows, and (vi) the Notes to Consolidated Financial Statements.</w:t>
            </w:r>
          </w:p>
        </w:tc>
      </w:tr>
      <w:tr>
        <w:trPr>
          <w:trHeight w:val="175"/>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cover page of the registrant’s Quarterly Report on Form 10-Q for the quarterly period ended March 31, 2026, formatted in Inline</w:t>
            </w:r>
          </w:p>
        </w:tc>
      </w:tr>
      <w:tr>
        <w:trPr>
          <w:trHeight w:val="243"/>
        </w:trPr>
        <w:tc>
          <w:tcPr>
            <w:tcW w:w="1120" w:type="dxa"/>
            <w:vAlign w:val="bottom"/>
            <w:shd w:val="clear" w:color="auto" w:fill="CCEEFF"/>
          </w:tcPr>
          <w:p>
            <w:pPr>
              <w:spacing w:after="0"/>
              <w:rPr>
                <w:sz w:val="21"/>
                <w:szCs w:val="21"/>
                <w:color w:val="auto"/>
              </w:rPr>
            </w:pP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(contained in Exhibit 101).</w:t>
            </w:r>
          </w:p>
        </w:tc>
      </w:tr>
    </w:tbl>
    <w:p>
      <w:pPr>
        <w:spacing w:after="0" w:line="2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200" w:lineRule="exact"/>
        <w:rPr>
          <w:sz w:val="20"/>
          <w:szCs w:val="20"/>
          <w:color w:val="auto"/>
        </w:rPr>
      </w:pPr>
    </w:p>
    <w:p>
      <w:pPr>
        <w:spacing w:after="0" w:line="299"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David P. Boyle</w:t>
            </w:r>
          </w:p>
        </w:tc>
        <w:tc>
          <w:tcPr>
            <w:tcW w:w="0" w:type="dxa"/>
            <w:vAlign w:val="bottom"/>
          </w:tcPr>
          <w:p>
            <w:pPr>
              <w:spacing w:after="0"/>
              <w:rPr>
                <w:sz w:val="1"/>
                <w:szCs w:val="1"/>
                <w:color w:val="auto"/>
              </w:rPr>
            </w:pPr>
          </w:p>
        </w:tc>
      </w:tr>
      <w:tr>
        <w:trPr>
          <w:trHeight w:val="189"/>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David P. Boyle</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0" w:type="dxa"/>
            <w:vAlign w:val="bottom"/>
          </w:tcPr>
          <w:p>
            <w:pPr>
              <w:spacing w:after="0"/>
              <w:rPr>
                <w:sz w:val="1"/>
                <w:szCs w:val="1"/>
                <w:color w:val="auto"/>
              </w:rPr>
            </w:pPr>
          </w:p>
        </w:tc>
      </w:tr>
      <w:tr>
        <w:trPr>
          <w:trHeight w:val="70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Roy E. Halyama</w:t>
            </w:r>
          </w:p>
        </w:tc>
        <w:tc>
          <w:tcPr>
            <w:tcW w:w="0" w:type="dxa"/>
            <w:vAlign w:val="bottom"/>
          </w:tcPr>
          <w:p>
            <w:pPr>
              <w:spacing w:after="0"/>
              <w:rPr>
                <w:sz w:val="1"/>
                <w:szCs w:val="1"/>
                <w:color w:val="auto"/>
              </w:rPr>
            </w:pPr>
          </w:p>
        </w:tc>
      </w:tr>
      <w:tr>
        <w:trPr>
          <w:trHeight w:val="189"/>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Roy E. Halyama</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Employment Agreement (this “Agreement”) is dated as of August 24, 2023 (the “Signing Date”) by and between Burke &amp; Herbert Bank &amp; Trust Company, a Virginia community bank (the “Bank”), and Bradford Ritchie (“Executive”). This Agreement collectively refers to the Bank and Executive as the “Parties,” and separately may refer to any one of the Parties as a “Party.”</w:t>
      </w:r>
    </w:p>
    <w:p>
      <w:pPr>
        <w:spacing w:after="0" w:line="17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Bank is the wholly-owned Virginia chartered commercial bank subsidiary of Burke &amp; Herbert Financial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 (the “Company”);</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on the Signing Date, the Company and Summit Financial Group, Inc., a West Virginia corporation (“Summit”) entered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an Agreement and Plan of Reorganization (the “Merger Agreement”) under which Summit will merge with and into the Company (the “Merger”), with the Company being the surviving corporation;</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Executive is presently the Executive Vice President of Summit and President of Summit Community Bank, the wholly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owned West Virginia chartered commercial bank subsidiary of Summit (“Summit Community Bank”); and</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based on Executive’s position as a key executive officer of Summit and as a material inducement for the Company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 into the Merger Agreement, Executive and the Company have agreed that upon the consummation of the Merger, Executive shall become an employee of the Bank under the terms and conditions set forth herein.</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mutual covenants herein contained, upon the other terms and conditions hereinafter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and for the good and valuable consideration (the receipt and sufficiency of which is hereby acknowledged), the Parties hereby agree as follows:</w:t>
      </w:r>
    </w:p>
    <w:p>
      <w:pPr>
        <w:spacing w:after="0" w:line="1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b w:val="1"/>
          <w:bCs w:val="1"/>
          <w:u w:val="single" w:color="auto"/>
          <w:color w:val="auto"/>
        </w:rPr>
        <w:t>Definitions</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addition to terms defined elsewhere in this Agreement, when used anywhere in this Agreement the following terms shall have the meaning set forth below.</w:t>
      </w:r>
    </w:p>
    <w:p>
      <w:pPr>
        <w:spacing w:after="0" w:line="156" w:lineRule="exact"/>
        <w:rPr>
          <w:sz w:val="20"/>
          <w:szCs w:val="20"/>
          <w:color w:val="auto"/>
        </w:rPr>
      </w:pPr>
    </w:p>
    <w:p>
      <w:pPr>
        <w:ind w:left="1940" w:hanging="636"/>
        <w:spacing w:after="0"/>
        <w:tabs>
          <w:tab w:leader="none" w:pos="1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“Bank Board” </w:t>
      </w:r>
      <w:r>
        <w:rPr>
          <w:rFonts w:ascii="Times New Roman" w:cs="Times New Roman" w:eastAsia="Times New Roman" w:hAnsi="Times New Roman"/>
          <w:sz w:val="20"/>
          <w:szCs w:val="20"/>
          <w:color w:val="auto"/>
        </w:rPr>
        <w:t>shall mean the Board of Directors of the Bank.</w:t>
      </w:r>
    </w:p>
    <w:p>
      <w:pPr>
        <w:spacing w:after="0" w:line="215" w:lineRule="exact"/>
        <w:rPr>
          <w:rFonts w:ascii="Times New Roman" w:cs="Times New Roman" w:eastAsia="Times New Roman" w:hAnsi="Times New Roman"/>
          <w:sz w:val="20"/>
          <w:szCs w:val="20"/>
          <w:color w:val="auto"/>
        </w:rPr>
      </w:pPr>
    </w:p>
    <w:p>
      <w:pPr>
        <w:ind w:right="20" w:firstLine="1304"/>
        <w:spacing w:after="0" w:line="287" w:lineRule="auto"/>
        <w:tabs>
          <w:tab w:leader="none" w:pos="193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“Bank Entities” </w:t>
      </w:r>
      <w:r>
        <w:rPr>
          <w:rFonts w:ascii="Times New Roman" w:cs="Times New Roman" w:eastAsia="Times New Roman" w:hAnsi="Times New Roman"/>
          <w:sz w:val="20"/>
          <w:szCs w:val="20"/>
          <w:color w:val="auto"/>
        </w:rPr>
        <w:t>shall mean the Bank, the Company and any entity directly or indirectly controlling, controlled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under common control with the Bank or the Company.</w:t>
      </w:r>
    </w:p>
    <w:p>
      <w:pPr>
        <w:spacing w:after="0" w:line="138" w:lineRule="exact"/>
        <w:rPr>
          <w:rFonts w:ascii="Times New Roman" w:cs="Times New Roman" w:eastAsia="Times New Roman" w:hAnsi="Times New Roman"/>
          <w:sz w:val="20"/>
          <w:szCs w:val="20"/>
          <w:color w:val="auto"/>
        </w:rPr>
      </w:pPr>
    </w:p>
    <w:p>
      <w:pPr>
        <w:ind w:firstLine="1304"/>
        <w:spacing w:after="0" w:line="287" w:lineRule="auto"/>
        <w:tabs>
          <w:tab w:leader="none" w:pos="193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Control” </w:t>
      </w:r>
      <w:r>
        <w:rPr>
          <w:rFonts w:ascii="Times New Roman" w:cs="Times New Roman" w:eastAsia="Times New Roman" w:hAnsi="Times New Roman"/>
          <w:sz w:val="20"/>
          <w:szCs w:val="20"/>
          <w:color w:val="auto"/>
        </w:rPr>
        <w:t>shall mean (i) a change in the ownership of the Bank, (ii) a change in the effective control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Bank, or (iii) a change in the ownership of a substantial portion of the assets of the Bank, in each instance as described below:</w:t>
      </w:r>
    </w:p>
    <w:p>
      <w:pPr>
        <w:spacing w:after="0" w:line="156" w:lineRule="exact"/>
        <w:rPr>
          <w:sz w:val="20"/>
          <w:szCs w:val="20"/>
          <w:color w:val="auto"/>
        </w:rPr>
      </w:pPr>
    </w:p>
    <w:p>
      <w:pPr>
        <w:ind w:left="2600" w:hanging="648"/>
        <w:spacing w:after="0"/>
        <w:tabs>
          <w:tab w:leader="none" w:pos="26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ownership occurs on the date that any one person, or more</w:t>
      </w:r>
    </w:p>
    <w:p>
      <w:pPr>
        <w:spacing w:after="0" w:line="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than one person acting as a group (as defined in Treasury regulation section 1.409A-3(i)(5)(v)(B)), acquires ownership of stock of the Bank that, together with stock held by such person or group, constitutes more than 50% of the total fair market value or total voting power of the stock of such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8" w:right="339" w:bottom="1440" w:gutter="0" w:footer="0" w:header="0"/>
        </w:sectPr>
      </w:pPr>
    </w:p>
    <w:bookmarkStart w:id="76" w:name="page77"/>
    <w:bookmarkEnd w:id="76"/>
    <w:p>
      <w:pPr>
        <w:jc w:val="both"/>
        <w:ind w:firstLine="1952"/>
        <w:spacing w:after="0" w:line="251" w:lineRule="auto"/>
        <w:tabs>
          <w:tab w:leader="none" w:pos="259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effective control of the Bank occurs on the date that either (A) any one person, or more than one person acting as a group (as defined in Treasury regulation section 1.409A-3(i)(5)(v)(B), acquires (or has acquired during the 12-month period ending on the date of the most recent acquisition by such person or persons) ownership of stock of the Bank possessing 30% or more of the total voting power of the stock of the Bank, excluding, solely for purposes of this Section 1.1(c)(ii), any such person or persons acting as a group who owns 30% or more of the total voting power of the stock of the Bank as of the Effective Date of this Agreement) or (B) a majority of the members of the Bank Board is replaced during any 12 month period by directors whose appointment or election is not endorsed by a majority of the members of the Bank Board prior to the date of the appointment or election, provided that this sub-section (ii) is inapplicable where a majority shareholder of the Bank is another corporation.</w:t>
      </w:r>
    </w:p>
    <w:p>
      <w:pPr>
        <w:spacing w:after="0" w:line="19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9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ownership of a substantial portion of the Bank’s assets occurs on the date that any one person or more than one person acting as a group (as defined in Treasury regulation section 1.409A-3(i)(5)(vii)(C)) acquires (or has acquired during the 12 month period ending on the date of the most recent acquisition by such person or persons) assets from the Bank that have a total gross fair market value equal to or more than 40% of the total gross fair market value of (A) all of the assets of the Bank, or (B) the value of the assets being disposed of, either of which is determined without regard to any liabilities associated with such assets.</w:t>
      </w:r>
    </w:p>
    <w:p>
      <w:pPr>
        <w:spacing w:after="0" w:line="192" w:lineRule="exact"/>
        <w:rPr>
          <w:sz w:val="20"/>
          <w:szCs w:val="20"/>
          <w:color w:val="auto"/>
        </w:rPr>
      </w:pPr>
    </w:p>
    <w:p>
      <w:pPr>
        <w:ind w:left="80" w:right="20" w:firstLine="583"/>
        <w:spacing w:after="0" w:line="269" w:lineRule="auto"/>
        <w:rPr>
          <w:sz w:val="20"/>
          <w:szCs w:val="20"/>
          <w:color w:val="auto"/>
        </w:rPr>
      </w:pPr>
      <w:r>
        <w:rPr>
          <w:rFonts w:ascii="Times New Roman" w:cs="Times New Roman" w:eastAsia="Times New Roman" w:hAnsi="Times New Roman"/>
          <w:sz w:val="20"/>
          <w:szCs w:val="20"/>
          <w:color w:val="auto"/>
        </w:rPr>
        <w:t>For all purposes hereunder, no event shall be a Change in Control unless such event is also a “change in control event” within the meaning of Treasury regulation section 1.409A-3(i)(5).</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C2C2C"/>
        </w:rPr>
        <w:t>Solely for purposes of this Section 1.1(c), references to the term “Bank” shall mean “the Bank or the Company.”</w:t>
      </w:r>
    </w:p>
    <w:p>
      <w:pPr>
        <w:spacing w:after="0" w:line="225" w:lineRule="exact"/>
        <w:rPr>
          <w:sz w:val="20"/>
          <w:szCs w:val="20"/>
          <w:color w:val="auto"/>
        </w:rPr>
      </w:pPr>
    </w:p>
    <w:p>
      <w:pPr>
        <w:ind w:left="80" w:firstLine="1224"/>
        <w:spacing w:after="0" w:line="273" w:lineRule="auto"/>
        <w:tabs>
          <w:tab w:leader="none" w:pos="194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“Code” </w:t>
      </w:r>
      <w:r>
        <w:rPr>
          <w:rFonts w:ascii="Times New Roman" w:cs="Times New Roman" w:eastAsia="Times New Roman" w:hAnsi="Times New Roman"/>
          <w:sz w:val="20"/>
          <w:szCs w:val="20"/>
          <w:color w:val="auto"/>
        </w:rPr>
        <w:t>shall mean the Internal Revenue Code of 1986, as amended, and as interpreted through applicable rulings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regulations, in each case from time to time.</w:t>
      </w:r>
    </w:p>
    <w:p>
      <w:pPr>
        <w:spacing w:after="0" w:line="16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 Board” </w:t>
      </w:r>
      <w:r>
        <w:rPr>
          <w:rFonts w:ascii="Times New Roman" w:cs="Times New Roman" w:eastAsia="Times New Roman" w:hAnsi="Times New Roman"/>
          <w:sz w:val="20"/>
          <w:szCs w:val="20"/>
          <w:color w:val="auto"/>
        </w:rPr>
        <w:t>shall mean the Board of Directors of the Company.</w:t>
      </w:r>
    </w:p>
    <w:p>
      <w:pPr>
        <w:spacing w:after="0" w:line="215" w:lineRule="exact"/>
        <w:rPr>
          <w:rFonts w:ascii="Times New Roman" w:cs="Times New Roman" w:eastAsia="Times New Roman" w:hAnsi="Times New Roman"/>
          <w:sz w:val="20"/>
          <w:szCs w:val="20"/>
          <w:color w:val="auto"/>
        </w:rPr>
      </w:pPr>
    </w:p>
    <w:p>
      <w:pPr>
        <w:jc w:val="both"/>
        <w:ind w:left="80" w:firstLine="1224"/>
        <w:spacing w:after="0" w:line="254" w:lineRule="auto"/>
        <w:tabs>
          <w:tab w:leader="none" w:pos="195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“Disability” </w:t>
      </w:r>
      <w:r>
        <w:rPr>
          <w:rFonts w:ascii="Times New Roman" w:cs="Times New Roman" w:eastAsia="Times New Roman" w:hAnsi="Times New Roman"/>
          <w:sz w:val="20"/>
          <w:szCs w:val="20"/>
          <w:color w:val="auto"/>
        </w:rPr>
        <w:t>shall mean Executive’s absence from performance of duties during the Employment Period for 180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days in any twelve-month period (exclusive of any FMLA leave taken by Executive) due to Executive’s physical or mental illness. Evidence of such physical or mental illness shall be certified by a physician licensed to practice in the Commonwealth of Virginia or State of West Virginia mutually agreeable to both Parties. If there is no agreement on the selection of the physician, the Bank shall select on physician and Executive shall select on physician, and the two physicians shall attempt to mutually agree upon such physical or mental disability. If the two physicians cannot agree, then the two physicians shall jointly select a third physician, whose opinion on the determination of such physical or mental disability shall control.</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“Employment Period</w:t>
      </w:r>
      <w:r>
        <w:rPr>
          <w:rFonts w:ascii="Times New Roman" w:cs="Times New Roman" w:eastAsia="Times New Roman" w:hAnsi="Times New Roman"/>
          <w:sz w:val="19"/>
          <w:szCs w:val="19"/>
          <w:color w:val="auto"/>
        </w:rPr>
        <w:t>” shall mean Executive’s employment during the Term and, if applicable, each Renewal Term</w:t>
      </w:r>
    </w:p>
    <w:p>
      <w:pPr>
        <w:spacing w:after="0" w:line="43" w:lineRule="exact"/>
        <w:rPr>
          <w:rFonts w:ascii="Times New Roman" w:cs="Times New Roman" w:eastAsia="Times New Roman" w:hAnsi="Times New Roman"/>
          <w:sz w:val="19"/>
          <w:szCs w:val="19"/>
          <w:color w:val="auto"/>
        </w:rPr>
      </w:pPr>
    </w:p>
    <w:p>
      <w:pPr>
        <w:ind w:left="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hereunder.</w:t>
      </w:r>
    </w:p>
    <w:p>
      <w:pPr>
        <w:spacing w:after="0" w:line="209" w:lineRule="exact"/>
        <w:rPr>
          <w:rFonts w:ascii="Times New Roman" w:cs="Times New Roman" w:eastAsia="Times New Roman" w:hAnsi="Times New Roman"/>
          <w:sz w:val="19"/>
          <w:szCs w:val="19"/>
          <w:color w:val="auto"/>
        </w:rPr>
      </w:pPr>
    </w:p>
    <w:p>
      <w:pPr>
        <w:ind w:left="80" w:right="20" w:firstLine="1224"/>
        <w:spacing w:after="0" w:line="273" w:lineRule="auto"/>
        <w:tabs>
          <w:tab w:leader="none" w:pos="194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“Good Reason” </w:t>
      </w:r>
      <w:r>
        <w:rPr>
          <w:rFonts w:ascii="Times New Roman" w:cs="Times New Roman" w:eastAsia="Times New Roman" w:hAnsi="Times New Roman"/>
          <w:sz w:val="20"/>
          <w:szCs w:val="20"/>
          <w:color w:val="auto"/>
        </w:rPr>
        <w:t>shall mean any of the following events set forth in this definition of “Good Reason,” each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prior consent:</w:t>
      </w:r>
    </w:p>
    <w:p>
      <w:pPr>
        <w:spacing w:after="0" w:line="169" w:lineRule="exact"/>
        <w:rPr>
          <w:rFonts w:ascii="Times New Roman" w:cs="Times New Roman" w:eastAsia="Times New Roman" w:hAnsi="Times New Roman"/>
          <w:sz w:val="20"/>
          <w:szCs w:val="20"/>
          <w:color w:val="auto"/>
        </w:rPr>
      </w:pPr>
    </w:p>
    <w:p>
      <w:pPr>
        <w:jc w:val="both"/>
        <w:ind w:left="80" w:firstLine="1224"/>
        <w:spacing w:after="0" w:line="261" w:lineRule="auto"/>
        <w:tabs>
          <w:tab w:leader="none" w:pos="195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Executive’s duties or responsibilities, including the failure to re-appoint Executive to the officer position set forth under Section 3.1, except in connection with Executive’s death, Disability, termination for Just Cause (as hereinafter defined) or voluntary resignation other than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13" w:right="339" w:bottom="1440" w:gutter="0" w:footer="0" w:header="0"/>
        </w:sectPr>
      </w:pPr>
    </w:p>
    <w:bookmarkStart w:id="77" w:name="page78"/>
    <w:bookmarkEnd w:id="77"/>
    <w:p>
      <w:pPr>
        <w:ind w:right="20" w:firstLine="1952"/>
        <w:spacing w:after="0" w:line="283" w:lineRule="auto"/>
        <w:tabs>
          <w:tab w:leader="none" w:pos="259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Executive’s Base Salary (except for any reduction that is part of an employee or executive-wide reduction in pay) as set forth in Section 4.1 ;</w:t>
      </w:r>
    </w:p>
    <w:p>
      <w:pPr>
        <w:spacing w:after="0" w:line="14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breach of this Agreement by the Bank; or</w:t>
      </w:r>
    </w:p>
    <w:p>
      <w:pPr>
        <w:spacing w:after="0" w:line="229"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9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relocation of Executive’s principal place of employment to an office that is more than twenty-five (25) miles from the office location described in Section 7.1 of this Agreement, other than an office relocation that reduces the distance (measured in miles) of Executive’s commute from his place of residence to the office.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modifications in Executive’s duties and responsibilities as a result of Executive’s transition from his position at Summit to his position at the Bank following the Merger shall not give rise to “Good Reason.” In addition, the timely delivery by the Bank of a Non-Renewal Notice to Executive shall not give rise to “Good Reason.”</w:t>
      </w:r>
    </w:p>
    <w:p>
      <w:pPr>
        <w:spacing w:after="0" w:line="164" w:lineRule="exact"/>
        <w:rPr>
          <w:sz w:val="20"/>
          <w:szCs w:val="20"/>
          <w:color w:val="auto"/>
        </w:rPr>
      </w:pPr>
    </w:p>
    <w:p>
      <w:pPr>
        <w:jc w:val="both"/>
        <w:ind w:left="80" w:firstLine="1224"/>
        <w:spacing w:after="0" w:line="270" w:lineRule="auto"/>
        <w:tabs>
          <w:tab w:leader="none" w:pos="1957"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Healthcare Coverage</w:t>
      </w:r>
      <w:r>
        <w:rPr>
          <w:rFonts w:ascii="Times New Roman" w:cs="Times New Roman" w:eastAsia="Times New Roman" w:hAnsi="Times New Roman"/>
          <w:sz w:val="20"/>
          <w:szCs w:val="20"/>
          <w:color w:val="auto"/>
        </w:rPr>
        <w:t>” means coverage for Executive and Executive’s tax-qualified dependents under the Bank’s medical, dental and vision plans, based on the applicable plans and Executive’s coverage elections in effect immediately prior to the Termination Date.</w:t>
      </w:r>
    </w:p>
    <w:p>
      <w:pPr>
        <w:spacing w:after="0" w:line="15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“Just Cause” </w:t>
      </w:r>
      <w:r>
        <w:rPr>
          <w:rFonts w:ascii="Times New Roman" w:cs="Times New Roman" w:eastAsia="Times New Roman" w:hAnsi="Times New Roman"/>
          <w:sz w:val="20"/>
          <w:szCs w:val="20"/>
          <w:color w:val="auto"/>
        </w:rPr>
        <w:t>shall mean Executive’s:</w:t>
      </w:r>
    </w:p>
    <w:p>
      <w:pPr>
        <w:spacing w:after="0" w:line="233" w:lineRule="exact"/>
        <w:rPr>
          <w:rFonts w:ascii="Times New Roman" w:cs="Times New Roman" w:eastAsia="Times New Roman" w:hAnsi="Times New Roman"/>
          <w:sz w:val="20"/>
          <w:szCs w:val="20"/>
          <w:color w:val="auto"/>
        </w:rPr>
      </w:pPr>
    </w:p>
    <w:p>
      <w:pPr>
        <w:ind w:firstLine="1952"/>
        <w:spacing w:after="0" w:line="269" w:lineRule="auto"/>
        <w:tabs>
          <w:tab w:leader="none" w:pos="259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 act or omission that, in the judgment of the Bank Board, has caused or will likely cause substantial economic damage to the Bank or substantial injury to the business reputation of the Bank;</w:t>
      </w:r>
    </w:p>
    <w:p>
      <w:pPr>
        <w:spacing w:after="0" w:line="172" w:lineRule="exact"/>
        <w:rPr>
          <w:rFonts w:ascii="Times New Roman" w:cs="Times New Roman" w:eastAsia="Times New Roman" w:hAnsi="Times New Roman"/>
          <w:sz w:val="20"/>
          <w:szCs w:val="20"/>
          <w:color w:val="auto"/>
        </w:rPr>
      </w:pPr>
    </w:p>
    <w:p>
      <w:pPr>
        <w:ind w:firstLine="1952"/>
        <w:spacing w:after="0" w:line="283" w:lineRule="auto"/>
        <w:tabs>
          <w:tab w:leader="none" w:pos="2591"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or acts of dishonesty or fraud intended to result in enrichment or advantage to Executive or a third party at the expense of the Bank or through the use of assets of the Bank (including proprietary or confidential information);</w:t>
      </w:r>
    </w:p>
    <w:p>
      <w:pPr>
        <w:spacing w:after="0" w:line="146"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92"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 failure (other than due to physical or mental incapacity) to carry out Executive’s duties and responsibilities to the Bank, including any reasonable directions from the Bank Board or Company Board, within the standards of performance which could reasonably be expected of an executive working for a banking institution in a similar position, if such willful failure continues for forty-five (45) days or more after written notice of such failure is provided to Executive by the Bank;</w:t>
      </w:r>
    </w:p>
    <w:p>
      <w:pPr>
        <w:spacing w:after="0" w:line="172"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81"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 failure or refusal (A) to comply with any material term or provision of this Agreement, (B) to adhere to the material terms of such employment-related policies or procedures as have been or may be established by the Bank, or (C) to execute and comply with the material terms of such instruments as may reasonably be requested by the Bank consistent with the foregoing clauses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 including, without limitation, the Bank’s rules and policies with respect to conduct and ethics;</w:t>
      </w:r>
    </w:p>
    <w:p>
      <w:pPr>
        <w:spacing w:after="0" w:line="207" w:lineRule="exact"/>
        <w:rPr>
          <w:rFonts w:ascii="Times New Roman" w:cs="Times New Roman" w:eastAsia="Times New Roman" w:hAnsi="Times New Roman"/>
          <w:sz w:val="20"/>
          <w:szCs w:val="20"/>
          <w:color w:val="auto"/>
        </w:rPr>
      </w:pPr>
    </w:p>
    <w:p>
      <w:pPr>
        <w:ind w:right="20" w:firstLine="1952"/>
        <w:spacing w:after="0" w:line="269" w:lineRule="auto"/>
        <w:tabs>
          <w:tab w:leader="none" w:pos="258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conviction or entry of a plea of guilty or nolo contendere or entry into a pretrial diversion program or similar program relating to a felony or any crime involving moral turpitude;</w:t>
      </w:r>
    </w:p>
    <w:p>
      <w:pPr>
        <w:spacing w:after="0" w:line="172" w:lineRule="exact"/>
        <w:rPr>
          <w:rFonts w:ascii="Times New Roman" w:cs="Times New Roman" w:eastAsia="Times New Roman" w:hAnsi="Times New Roman"/>
          <w:sz w:val="20"/>
          <w:szCs w:val="20"/>
          <w:color w:val="auto"/>
        </w:rPr>
      </w:pPr>
    </w:p>
    <w:p>
      <w:pPr>
        <w:ind w:right="20" w:firstLine="1952"/>
        <w:spacing w:after="0" w:line="283" w:lineRule="auto"/>
        <w:tabs>
          <w:tab w:leader="none" w:pos="2581"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subject to an order of a federal or state regulatory agency or a court of competent jurisdiction requiring the termination of Executive’s employment with the Bank, unless Executive has appealed such order and such appeal is pending;</w:t>
      </w:r>
    </w:p>
    <w:p>
      <w:pPr>
        <w:spacing w:after="0" w:line="146" w:lineRule="exact"/>
        <w:rPr>
          <w:rFonts w:ascii="Times New Roman" w:cs="Times New Roman" w:eastAsia="Times New Roman" w:hAnsi="Times New Roman"/>
          <w:sz w:val="20"/>
          <w:szCs w:val="20"/>
          <w:color w:val="auto"/>
        </w:rPr>
      </w:pPr>
    </w:p>
    <w:p>
      <w:pPr>
        <w:ind w:firstLine="1952"/>
        <w:spacing w:after="0" w:line="283" w:lineRule="auto"/>
        <w:tabs>
          <w:tab w:leader="none" w:pos="2581"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abuse of alcohol or any controlled substance in a manner that materially negatively affects Executive’s performance or abilities at the Bank, whether or not such activity constitutes a crime;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13" w:right="339" w:bottom="1440" w:gutter="0" w:footer="0" w:header="0"/>
        </w:sectPr>
      </w:pPr>
    </w:p>
    <w:bookmarkStart w:id="78" w:name="page79"/>
    <w:bookmarkEnd w:id="78"/>
    <w:p>
      <w:pPr>
        <w:ind w:left="1960"/>
        <w:spacing w:after="0"/>
        <w:tabs>
          <w:tab w:leader="none" w:pos="2520" w:val="left"/>
        </w:tabs>
        <w:rPr>
          <w:sz w:val="20"/>
          <w:szCs w:val="20"/>
          <w:color w:val="auto"/>
        </w:rPr>
      </w:pPr>
      <w:r>
        <w:rPr>
          <w:rFonts w:ascii="Times New Roman" w:cs="Times New Roman" w:eastAsia="Times New Roman" w:hAnsi="Times New Roman"/>
          <w:sz w:val="20"/>
          <w:szCs w:val="20"/>
          <w:color w:val="auto"/>
        </w:rPr>
        <w:t>(viii)</w:t>
      </w:r>
      <w:r>
        <w:rPr>
          <w:sz w:val="20"/>
          <w:szCs w:val="20"/>
          <w:color w:val="auto"/>
        </w:rPr>
        <w:tab/>
      </w:r>
      <w:r>
        <w:rPr>
          <w:rFonts w:ascii="Times New Roman" w:cs="Times New Roman" w:eastAsia="Times New Roman" w:hAnsi="Times New Roman"/>
          <w:sz w:val="19"/>
          <w:szCs w:val="19"/>
          <w:color w:val="auto"/>
        </w:rPr>
        <w:t>prohibition from employment with an FDIC-insured institution under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federal law.</w:t>
      </w:r>
    </w:p>
    <w:p>
      <w:pPr>
        <w:spacing w:after="0" w:line="212" w:lineRule="exact"/>
        <w:rPr>
          <w:sz w:val="20"/>
          <w:szCs w:val="20"/>
          <w:color w:val="auto"/>
        </w:rPr>
      </w:pPr>
    </w:p>
    <w:p>
      <w:pPr>
        <w:ind w:left="1940" w:hanging="636"/>
        <w:spacing w:after="0"/>
        <w:tabs>
          <w:tab w:leader="none" w:pos="19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“Termination Date” </w:t>
      </w:r>
      <w:r>
        <w:rPr>
          <w:rFonts w:ascii="Times New Roman" w:cs="Times New Roman" w:eastAsia="Times New Roman" w:hAnsi="Times New Roman"/>
          <w:sz w:val="19"/>
          <w:szCs w:val="19"/>
          <w:color w:val="auto"/>
        </w:rPr>
        <w:t>shall mean the date on which Executive’s service to the Bank under this Agreement terminates.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PERIOD</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b w:val="1"/>
          <w:bCs w:val="1"/>
          <w:u w:val="single" w:color="auto"/>
          <w:color w:val="auto"/>
        </w:rPr>
        <w:t>Term of Agreement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effectiveness of this Agreement is conditional upon consummation of the Merger and subject to Executive’s continued employment with Summit until such time. In the event that the Merger Agreement is terminated pursuant to its terms, this Agreement will expire and shall have no further force and effect. Effective upon consummation of the Merger (the “Effective Date”), Executive shall be employed as Executive Vice President, Chief Lending Officer of the Bank, under the terms and conditions of this Agreement. The term of this Agreement (the “Term”) shall commence on the Effective Date and will continue thereafter for a period of three (3) years. Commencing on the third anniversary of the Effective Date, and on each anniversary date thereafter, the term of the Agreement will extend for a period of one year, with each additional year a “Renewal Term,” unless (a) the Bank provides Executive written notice of non-renewal (“Non-Renewal Notice”) at least ninety (90) days prior to an anniversary date, or (b) the Agreement is terminated pursuant to the termination provisions contained in ARTICLE 8 below. If a Non-Renewal Notice is timely delivered to Executive, this Agreement shall terminate at the end of the then-current Term or Renewal Term.</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b w:val="1"/>
          <w:bCs w:val="1"/>
          <w:u w:val="single" w:color="auto"/>
          <w:color w:val="auto"/>
        </w:rPr>
        <w:t>Annual Performance Evaluation</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On a calendar year basis, the Bank shall conduct an annual performance evaluation of Executive, no later than ninety (90) days following each calendar year end, the results of which will be communicated to Executive.</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b w:val="1"/>
          <w:bCs w:val="1"/>
          <w:u w:val="single" w:color="auto"/>
          <w:color w:val="auto"/>
        </w:rPr>
        <w:t>Continued Employment Following Termination of Employment Period</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Nothing in this Agreement shall mandate or prohibit a continuation of Executive’s employment following the expiration of the Employment Period.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POSITION AND DUTIES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b w:val="1"/>
          <w:bCs w:val="1"/>
          <w:u w:val="single" w:color="auto"/>
          <w:color w:val="auto"/>
        </w:rPr>
        <w:t>Title; Responsibility</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Executive shall serve as the Executive Vice President, Chief Lending Officer of the Bank and shall perform such administrative and management services as customarily performed by persons in similar executive capacities and as may be reasonably assigned from time to time by the Chief Executive Officer or the Boards of Directors of the Bank and the Company, as applicable. Executive will report directly to the Chief Executive Officer of the Bank and the Company. During the Employment Period, Executive also agrees to serve, if elected, as an officer, director or trustee of any affiliate of the Bank and in such capacity to carry out the duties and responsibilities reasonably appropriate to any such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13" w:right="339" w:bottom="1440" w:gutter="0" w:footer="0" w:header="0"/>
        </w:sectPr>
      </w:pPr>
    </w:p>
    <w:bookmarkStart w:id="79" w:name="page80"/>
    <w:bookmarkEnd w:id="79"/>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b w:val="1"/>
          <w:bCs w:val="1"/>
          <w:u w:val="single" w:color="auto"/>
          <w:color w:val="auto"/>
        </w:rPr>
        <w:t>Time Commitment</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Subject to Section 6.1, Executive shall devote his full business time and attention to the business and affairs of the Bank and shall use his best efforts to advance the interests of the Bank.</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b w:val="1"/>
          <w:bCs w:val="1"/>
          <w:u w:val="single" w:color="auto"/>
          <w:color w:val="auto"/>
        </w:rPr>
        <w:t>Company Policies</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Executive shall comply with and agrees to be bound by the policies of the Bank Entities as in effect from time to time, including (without limitation) policies regarding ethics, personal conduct, stock ownership, securities trading, clawback and hedging and pledging of securities.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COMPENSATION</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b w:val="1"/>
          <w:bCs w:val="1"/>
          <w:u w:val="single" w:color="auto"/>
          <w:color w:val="auto"/>
        </w:rPr>
        <w:t>Annual Salary</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consideration for the services performed by Executive under this Agreement, the Bank shall pay to Executive an annual salary (“Base Salary”) of $410,000. The Base Salary will be paid by the Bank in approximately equal installments in accordance with the Bank’s customary payroll practices. The Bank will review Executive’s Base Salary at least annually and the Base Salary may be increased but may not be decreased (other than as part of an across the board program affecting all executives) without Executive’s consent (any increase in Base Salary will become the new “Base Salary” for purposes of this Agreement).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b w:val="1"/>
          <w:bCs w:val="1"/>
          <w:u w:val="single" w:color="auto"/>
          <w:color w:val="auto"/>
        </w:rPr>
        <w:t>Incentive Compensation</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Executive shall be entitled to participate at a level determined by the Bank Board (or a committee thereof) in any annual incentive compensation or bonus plan as may be available from time to time to executive officers of the Bank, which participation shall be in accordance with the terms of such plans. Payment to Executive for any calendar year of incentive compensation or a bonus under such plans, if any, shall not be construed as an increase in Executive’s Base Salary. Each annual cash bonus, if any, will be paid to Executive as a single lump sum cash payment (less required withholding) as soon as practicable after the last day of the applicable bonus period, but in no event later than March 15th of the calendar year following the year in which the last day of the performance period occurs.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b w:val="1"/>
          <w:bCs w:val="1"/>
          <w:u w:val="single" w:color="auto"/>
          <w:color w:val="auto"/>
        </w:rPr>
        <w:t>Equity Compensation</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Executive shall be entitled to participate in any equity or equity-based compensation plans that may be adopted by the Bank or the Company and, as necessary, approved by the Company’s stockholders, from time to time, under which awards may be granted to senior officers or employees of the Bank, which participation shall be in accordance with the terms and provisions of such plans and at a level determined by, as applicable, the Bank Board or the Company Board, or a committee thereof.</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b w:val="1"/>
          <w:bCs w:val="1"/>
          <w:u w:val="single" w:color="auto"/>
          <w:color w:val="auto"/>
        </w:rPr>
        <w:t>Merger Payment</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On the first regularly scheduled payroll date that occurs at least five (5) days after the Effective Date, the Bank will make a one-time special bonus payment to Executive of $695,500.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0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 BENEFITS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b w:val="1"/>
          <w:bCs w:val="1"/>
          <w:u w:val="single" w:color="auto"/>
          <w:color w:val="auto"/>
        </w:rPr>
        <w:t>Benefit Plans</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During the Employment Period, Executive will be an employee of the Bank and will be entitled to participate in benefit plans sponsored and maintained by the Bank and generally made available to employees and/or executives; provided, however, such participation shall be in accordance with the terms of the benefit plans and programs and, for purposes of this Section 5.1</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Bank may amend, terminate, modify or reduce benefits provided under such benefit plans and programs provided the changes apply to all similarly-situated participants on an equivalent basis.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u w:val="single" w:color="auto"/>
          <w:color w:val="auto"/>
        </w:rPr>
        <w:t>Paid Time Off</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Executive shall be entitled to not less than 30 days of paid time off (“PTO”) each year during the Employment Period (inclusive of vacation time, sick leave and other personal leave), as well as holidays and certain other paid absences, in accordance with the Bank’s policies and procedures for executive employees, including any transitional policies applicable to former Summit employees. All unused accrued PTO will be payable to Executive upon termination of employment.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u w:val="single" w:color="auto"/>
          <w:color w:val="auto"/>
        </w:rPr>
        <w:t>Company Car</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Executive shall be provided use of a company-owned automobile or, at the Company’s election, paid a periodic automobile allowance.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OUTSIDE ACTIVITIES AND BOARD MEMBERSHIPS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b w:val="1"/>
          <w:bCs w:val="1"/>
          <w:u w:val="single" w:color="auto"/>
          <w:color w:val="auto"/>
        </w:rPr>
        <w:t>Restrictions on Outside Activities and Board Memberships During Employment</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During the Employment Period, Executive shall not take any action to compete with the Bank Entities, and shall not: (i) directly or indirectly, provide services on behalf of any financial institution, any insurance company or agency, any mortgage or loan broker or any other entity or on behalf of any subsidiary or affiliate of any such entity engaged in the financial services industry, as an employee, consultant, independent contractor, agent, sole proprietor, partner, joint venturer, corporate officer or director; nor shall Executive acquire by reason of purchase during the Employment Period the ownership of more than 1% of the outstanding equity interest in any such entity; (ii) solicit, divert from the Bank Entities, or transact business with any customer of the Bank Entities, for the purpose of providing products or services that are the same as or substantially similar to, and competitive with, those provided by the Bank Entities; (iii) hire, assist others in hiring, or solicit for hire any employee of any of the Bank Entities, or encourage any such employee to terminate employment with any of the Bank Entities; or (iv) induce or attempt to induce any supplier, contractor, agent, representative or any other individual or entity that has a business relationship with any of the Bank Entities to discontinue, terminate, or reduce, the extent of such relationship with any Bank Entity, or to take any action that would disrupt or otherwise damage such relationship. Subject to the foregoing, and to Executive’s right to continue to serve as a director or trustee of any business organization or entity as to which he was so serving on the Signing Date (as disclosed in writing to the Bank Board), Executive may serve on boards of directors of unaffiliated, for-profit or not-for-profit entities, subject to prior approval of the Bank Board. Except as specifically set forth herein, Executive may engage in personal business and investment activities, including real estate investments and personal investments in the stocks, securities and obligations of other financial institutions (or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09" w:right="339" w:bottom="1440" w:gutter="0" w:footer="0" w:header="0"/>
        </w:sectPr>
      </w:pPr>
    </w:p>
    <w:bookmarkStart w:id="81" w:name="page82"/>
    <w:bookmarkEnd w:id="81"/>
    <w:p>
      <w:pPr>
        <w:jc w:val="both"/>
        <w:spacing w:after="0" w:line="283" w:lineRule="auto"/>
        <w:rPr>
          <w:sz w:val="20"/>
          <w:szCs w:val="20"/>
          <w:color w:val="auto"/>
        </w:rPr>
      </w:pPr>
      <w:r>
        <w:rPr>
          <w:rFonts w:ascii="Times New Roman" w:cs="Times New Roman" w:eastAsia="Times New Roman" w:hAnsi="Times New Roman"/>
          <w:sz w:val="20"/>
          <w:szCs w:val="20"/>
          <w:color w:val="auto"/>
        </w:rPr>
        <w:t>holding companies). Notwithstanding the foregoing, in no event shall Executive’s outside activities, services, personal business and investments materially interfere with the performance of his duties under this Agreement.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WORKING FACILITIES AND EXPENSES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b w:val="1"/>
          <w:bCs w:val="1"/>
          <w:u w:val="single" w:color="auto"/>
          <w:color w:val="auto"/>
        </w:rPr>
        <w:t>Working Facilities</w:t>
      </w:r>
    </w:p>
    <w:p>
      <w:pPr>
        <w:spacing w:after="0" w:line="23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Executive’s principal place of employment shall be, at his choice, either (a) 400 Washington Street E, Charleston, WV 25301, or (b) the Company’s headquarters.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u w:val="single" w:color="auto"/>
          <w:color w:val="auto"/>
        </w:rPr>
        <w:t>Expenses</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Bank shall reimburse Executive for his ordinary and necessary business expenses, incurred in connection with the performance of his duties under this Agreement, upon presentation to the Bank of an itemized account of such expenses in such form as the Bank may reasonably require. Any such expense shall be reimbursed as soon as practicable and no later than two and one-half months following the end of the year in which the expense was incurred, and the amount of expenses eligible for reimbursement (and in-kind benefits provided to Executive) during any one year may not affect amounts reimbursable or provided in any subsequent year.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TERMINATION OF EMPLOYMENT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Executive’s employment pursuant to this Agreement terminates before the end of the Term or a Renewal Term, then the rights and obligations of the Parties shall be determined hereunder. If Executive’s employment pursuant to this Agreement terminates at the end of the Term or a Renewal Term and the Bank has provided Executive a Non-Renewal Notice at least ninety (90) days prior to the expiration of the then-current Term or Renewal Term, as the case may be, the sole amounts payable under this ARTICLE 8 shall be those Accrued Obligations (as defined in Section 8.1) and any Other Benefits (as defined in Section 8.7) to which he may be entitled.</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b w:val="1"/>
          <w:bCs w:val="1"/>
          <w:u w:val="single" w:color="auto"/>
          <w:color w:val="auto"/>
        </w:rPr>
        <w:t>All Terminations</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In the event Executive’s employment with the Bank terminates during the Employment Period for any reason and regardless as to whether or not Executive executes the Release as provided for in Section 8.9, the Bank shall pay Executive the sum of Executive’s (a) earned but unpaid Base Salary within 65 days of the Termination Date or such sooner date as required by law, (b) any bonus earned for the prior calendar year under the Bank’s Executive Variable Compensation Plan (or similar arrangement) that has not been paid as of the Termination Date no later than March 15th of the year in which the Termination Date occurs, (c) business expenses that have not been reimbursed by the Bank within 65 days of the Termination Date or such sooner date as required by law, and (d) any accrued and unpaid PTO if such amounts have not been paid as of the Termination Date, within 65 days of the Termination Date or such sooner date as required by law, (the “Accrued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notwithstanding the foregoing, if Executive has made an irrevocable election under any deferred compensation arrangement subject to Section 409A of the Code to defer any portion of his compensation described in this clause, then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413" w:right="339" w:bottom="1440" w:gutter="0" w:footer="0" w:header="0"/>
        </w:sectPr>
      </w:pPr>
    </w:p>
    <w:bookmarkStart w:id="82" w:name="page83"/>
    <w:bookmarkEnd w:id="82"/>
    <w:p>
      <w:pPr>
        <w:jc w:val="both"/>
        <w:spacing w:after="0" w:line="283" w:lineRule="auto"/>
        <w:rPr>
          <w:sz w:val="20"/>
          <w:szCs w:val="20"/>
          <w:color w:val="auto"/>
        </w:rPr>
      </w:pPr>
      <w:r>
        <w:rPr>
          <w:rFonts w:ascii="Times New Roman" w:cs="Times New Roman" w:eastAsia="Times New Roman" w:hAnsi="Times New Roman"/>
          <w:sz w:val="20"/>
          <w:szCs w:val="20"/>
          <w:color w:val="auto"/>
        </w:rPr>
        <w:t>purposes of this Section 8.1, such election shall remain effective and such portion shall not be considered as part of the “Accrued Obligations” but shall instead be an “Other Benefit” (as defined below).</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b w:val="1"/>
          <w:bCs w:val="1"/>
          <w:u w:val="single" w:color="auto"/>
          <w:color w:val="auto"/>
        </w:rPr>
        <w:t>Termination for Just Cause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Bank Board may immediately terminate Executive’s employment at any time for Just Cause. Executive shall not have the right to receive compensation or other benefits for any period after the Termination Date for Just Cause. For purposes of this section, no act, or failure to act, on Executive’s part shall be considered “willful” unless he has acted, or failed to act, with an absence of good faith and without a reasonable belief that his action or failure to act was in the best interests of the Bank.</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b w:val="1"/>
          <w:bCs w:val="1"/>
          <w:u w:val="single" w:color="auto"/>
          <w:color w:val="auto"/>
        </w:rPr>
        <w:t>Termination for Good Reason or Termination Without Just Cause</w:t>
      </w:r>
    </w:p>
    <w:p>
      <w:pPr>
        <w:spacing w:after="0" w:line="233" w:lineRule="exact"/>
        <w:rPr>
          <w:sz w:val="20"/>
          <w:szCs w:val="20"/>
          <w:color w:val="auto"/>
        </w:rPr>
      </w:pPr>
    </w:p>
    <w:p>
      <w:pPr>
        <w:jc w:val="both"/>
        <w:ind w:firstLine="1304"/>
        <w:spacing w:after="0" w:line="250" w:lineRule="auto"/>
        <w:tabs>
          <w:tab w:leader="none" w:pos="193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Good Reason or Termination Without Just Cause</w:t>
      </w:r>
      <w:r>
        <w:rPr>
          <w:rFonts w:ascii="Times New Roman" w:cs="Times New Roman" w:eastAsia="Times New Roman" w:hAnsi="Times New Roman"/>
          <w:sz w:val="20"/>
          <w:szCs w:val="20"/>
          <w:color w:val="auto"/>
        </w:rPr>
        <w:t>. Executive may voluntarily resign from employment with the Bank for Good Reason during the Employment Period, but only if Executive has, within ninety (90) days after the first incidence of the particular event, given the Bank written notice detailing the event alleged to constitute Good Reason and the Bank has not cured the event within thirty (30) days after receiving such notice from Executive (but the Bank may elect to waive such thirty (30) day period), and Executive has resigned within thirty (30) days thereafter. The Bank may terminate Executive’s employment without Just Cause, provided that such termination of employment constitutes a “Separation from Service” within the meaning of Section 409A of the Code (“Section 409A”) and the Treasury regulations promulgated thereunder. In the event Executive terminates employment with Good Reason or the Bank terminates Executive’s employment without Just Cause, Executive will be entitled to the severance benefits set forth in Section 8.3(b); provided, however, that if the termination of employment occurs within two years after a Change in Control, the severance benefits will be determined as set forth in Section 8.5.</w:t>
      </w:r>
    </w:p>
    <w:p>
      <w:pPr>
        <w:spacing w:after="0" w:line="196"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w:t>
      </w:r>
      <w:r>
        <w:rPr>
          <w:rFonts w:ascii="Times New Roman" w:cs="Times New Roman" w:eastAsia="Times New Roman" w:hAnsi="Times New Roman"/>
          <w:sz w:val="20"/>
          <w:szCs w:val="20"/>
          <w:color w:val="auto"/>
        </w:rPr>
        <w:t>. Upon Executive’s termination of employment in accordance with Section 8.3(a), the Bank shall pay to Executive (or, in the event of Executive’s death after the termination of employment has occurred in accordance with Section 8.3(a), the Bank shall pay to Executive’s surviving spouse, beneficiary or estate) an amount equal to the following, subject to the Release Requirement (as defined below):</w:t>
      </w:r>
    </w:p>
    <w:p>
      <w:pPr>
        <w:spacing w:after="0" w:line="187"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Accrued Obligations as set forth in Section 8.1;</w:t>
      </w:r>
    </w:p>
    <w:p>
      <w:pPr>
        <w:spacing w:after="0" w:line="229" w:lineRule="exact"/>
        <w:rPr>
          <w:rFonts w:ascii="Times New Roman" w:cs="Times New Roman" w:eastAsia="Times New Roman" w:hAnsi="Times New Roman"/>
          <w:sz w:val="20"/>
          <w:szCs w:val="20"/>
          <w:color w:val="auto"/>
        </w:rPr>
      </w:pPr>
    </w:p>
    <w:p>
      <w:pPr>
        <w:ind w:firstLine="1952"/>
        <w:spacing w:after="0" w:line="295" w:lineRule="auto"/>
        <w:tabs>
          <w:tab w:leader="none" w:pos="2591"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equal to the product of (A) two and (B) the sum of (I) Executive’s Base Salary at the Termination Date and (II) a cash bonus equal to 40% multiplied by Executive’s Base Salary at the Termination Date (the “Target Cash Bonus”); and</w:t>
      </w:r>
    </w:p>
    <w:p>
      <w:pPr>
        <w:spacing w:after="0" w:line="151" w:lineRule="exact"/>
        <w:rPr>
          <w:rFonts w:ascii="Times New Roman" w:cs="Times New Roman" w:eastAsia="Times New Roman" w:hAnsi="Times New Roman"/>
          <w:sz w:val="19"/>
          <w:szCs w:val="19"/>
          <w:color w:val="auto"/>
        </w:rPr>
      </w:pPr>
    </w:p>
    <w:p>
      <w:pPr>
        <w:ind w:firstLine="1952"/>
        <w:spacing w:after="0" w:line="269" w:lineRule="auto"/>
        <w:tabs>
          <w:tab w:leader="none" w:pos="259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product of (A) 100% of Executive’s full total monthly premium (i.e. Executive’s portion and the Bank’s portion) for Executive’s Healthcare Coverage, times (B) 12.</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b w:val="1"/>
          <w:bCs w:val="1"/>
          <w:u w:val="single" w:color="auto"/>
          <w:color w:val="auto"/>
        </w:rPr>
        <w:t>Voluntary Resignation Without Good Reason</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Executive may voluntarily resign without Good Reason after giving sixty (60) days’ prior written notice to the Bank provided, however, that the Bank may accelerate the Termination Date upon receipt of written notice of the Executive’s resignation. If Executive terminates his employment without Good Reason, Executive will be entitled to no other payment or compensation of any kind except for the Accrued Obligations as set forth in Section 8.1 and any Other Benefits (as defined in Section 8.7) to which he may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13" w:right="339" w:bottom="1440" w:gutter="0" w:footer="0" w:header="0"/>
        </w:sectPr>
      </w:pPr>
    </w:p>
    <w:bookmarkStart w:id="83" w:name="page84"/>
    <w:bookmarkEnd w:id="8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9"/>
          <w:szCs w:val="19"/>
          <w:b w:val="1"/>
          <w:bCs w:val="1"/>
          <w:u w:val="single" w:color="auto"/>
          <w:color w:val="auto"/>
        </w:rPr>
        <w:t>Termination Due to a Change in Control</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within the period ending two years after a Change in Control (a) the Bank terminates Executive’s employment without Just Cause, or (b) Executive voluntarily terminates his employment for Good Reason, the Bank shall pay Executive an amount equal to the following, subject to the Release Requirement:</w:t>
      </w:r>
    </w:p>
    <w:p>
      <w:pPr>
        <w:spacing w:after="0" w:line="168" w:lineRule="exact"/>
        <w:rPr>
          <w:sz w:val="20"/>
          <w:szCs w:val="20"/>
          <w:color w:val="auto"/>
        </w:rPr>
      </w:pPr>
    </w:p>
    <w:p>
      <w:pPr>
        <w:ind w:left="2600" w:hanging="648"/>
        <w:spacing w:after="0"/>
        <w:tabs>
          <w:tab w:leader="none" w:pos="26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Accrued Obligations as set forth in Section 8.1; and</w:t>
      </w:r>
    </w:p>
    <w:p>
      <w:pPr>
        <w:spacing w:after="0" w:line="229" w:lineRule="exact"/>
        <w:rPr>
          <w:rFonts w:ascii="Times New Roman" w:cs="Times New Roman" w:eastAsia="Times New Roman" w:hAnsi="Times New Roman"/>
          <w:sz w:val="20"/>
          <w:szCs w:val="20"/>
          <w:color w:val="auto"/>
        </w:rPr>
      </w:pPr>
    </w:p>
    <w:p>
      <w:pPr>
        <w:ind w:right="20" w:firstLine="1952"/>
        <w:spacing w:after="0" w:line="283" w:lineRule="auto"/>
        <w:tabs>
          <w:tab w:leader="none" w:pos="259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equal to the product of (A) 2.99 and (B) the sum of (I) Executive’s Base Salary at the Termination Date and (II) the Targeted Cash Bonus; and</w:t>
      </w:r>
    </w:p>
    <w:p>
      <w:pPr>
        <w:spacing w:after="0" w:line="146" w:lineRule="exact"/>
        <w:rPr>
          <w:rFonts w:ascii="Times New Roman" w:cs="Times New Roman" w:eastAsia="Times New Roman" w:hAnsi="Times New Roman"/>
          <w:sz w:val="20"/>
          <w:szCs w:val="20"/>
          <w:color w:val="auto"/>
        </w:rPr>
      </w:pPr>
    </w:p>
    <w:p>
      <w:pPr>
        <w:ind w:firstLine="1952"/>
        <w:spacing w:after="0" w:line="283" w:lineRule="auto"/>
        <w:tabs>
          <w:tab w:leader="none" w:pos="259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product of (A) 100% of Executive’s full total monthly premium (i.e. Executive’s portion and the Bank’s portion) for Executive’s Healthcare Coverage, times (B) 18.</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b w:val="1"/>
          <w:bCs w:val="1"/>
          <w:u w:val="single" w:color="auto"/>
          <w:color w:val="auto"/>
        </w:rPr>
        <w:t>Termination due to Death or Disability</w:t>
      </w:r>
    </w:p>
    <w:p>
      <w:pPr>
        <w:spacing w:after="0" w:line="23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the case of a termination of Executive’s employment due to death or Disability, Executive shall be entitled to the following from the Bank:</w:t>
      </w:r>
    </w:p>
    <w:p>
      <w:pPr>
        <w:spacing w:after="0" w:line="146"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benefits under any applicable short-term and/or long-term disability insurance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216" w:lineRule="exact"/>
        <w:rPr>
          <w:sz w:val="20"/>
          <w:szCs w:val="20"/>
          <w:color w:val="auto"/>
        </w:rPr>
      </w:pPr>
    </w:p>
    <w:p>
      <w:pPr>
        <w:ind w:left="1940" w:hanging="636"/>
        <w:spacing w:after="0"/>
        <w:tabs>
          <w:tab w:leader="none" w:pos="19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Accrued Obligations as set forth in Section 8.1, and</w:t>
      </w:r>
    </w:p>
    <w:p>
      <w:pPr>
        <w:spacing w:after="0" w:line="229" w:lineRule="exact"/>
        <w:rPr>
          <w:rFonts w:ascii="Times New Roman" w:cs="Times New Roman" w:eastAsia="Times New Roman" w:hAnsi="Times New Roman"/>
          <w:sz w:val="20"/>
          <w:szCs w:val="20"/>
          <w:color w:val="auto"/>
        </w:rPr>
      </w:pPr>
    </w:p>
    <w:p>
      <w:pPr>
        <w:ind w:right="20" w:firstLine="1304"/>
        <w:spacing w:after="0" w:line="283" w:lineRule="auto"/>
        <w:tabs>
          <w:tab w:leader="none" w:pos="193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product of (i) the Target Cash Bonus, and (ii) a fraction, with the numerator equal to the number of days in the then current calendar year through the Termination Date and the denominator equal to 365.</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b w:val="1"/>
          <w:bCs w:val="1"/>
          <w:u w:val="single" w:color="auto"/>
          <w:color w:val="auto"/>
        </w:rPr>
        <w:t>Other Benefits</w:t>
      </w:r>
    </w:p>
    <w:p>
      <w:pPr>
        <w:spacing w:after="0" w:line="233" w:lineRule="exact"/>
        <w:rPr>
          <w:sz w:val="20"/>
          <w:szCs w:val="20"/>
          <w:color w:val="auto"/>
        </w:rPr>
      </w:pPr>
    </w:p>
    <w:p>
      <w:pPr>
        <w:jc w:val="both"/>
        <w:ind w:firstLine="1304"/>
        <w:spacing w:after="0" w:line="253" w:lineRule="auto"/>
        <w:tabs>
          <w:tab w:leader="none" w:pos="193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receives payments and benefits pursuant to ARTICLE 8 of this Agreement, Executive shall not be entitled to any duplicative severance pay or duplicative benefits under any severance plan, program or policy of the Bank, unless otherwise specifically provided therein in a specific reference to this Agreement. To the extent not theretofore paid or provided, the Bank shall timely pay or provide to Executive any other amounts or benefits required to be paid or provided or that Executive is eligible to receive under any plan, program, policy, contract or agreement of the Bank (such other amounts and benefits shall be hereinafter referred to as the “Other Benefits”) in accordance with the terms of the underlying plans or agreements.</w:t>
      </w:r>
    </w:p>
    <w:p>
      <w:pPr>
        <w:spacing w:after="0" w:line="17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Executive’s employment terminates pursuant to Sections 8.3, 8.5 or 8.6, and unless otherwise provided in the applicable award agreement, subject to the Release Requirement, (i) any unvested restricted stock (or similar) awards subject to time-based vesting shall become fully and immediately vested, and to the extent that the award is exempt from Section 409A, shall then be paid, and (ii) any unvested performance stock (or similar) awards shall become fully and immediately vested based on actual performance as of the Termination Date, and if actual performance is not determinable, at target, and to the extent that the award is exempt from Section 409A, shall then be paid.</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b w:val="1"/>
          <w:bCs w:val="1"/>
          <w:u w:val="single" w:color="auto"/>
          <w:color w:val="auto"/>
        </w:rPr>
        <w:t>Timing of Severance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09" w:right="339" w:bottom="1440" w:gutter="0" w:footer="0" w:header="0"/>
        </w:sectPr>
      </w:pPr>
    </w:p>
    <w:bookmarkStart w:id="84" w:name="page85"/>
    <w:bookmarkEnd w:id="84"/>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Accrued Obligations shall be paid in the time period set forth in Section 8.1 above, and the Other Benefits shall be paid in accordance with their terms. Any other cash payments pursuant to this ARTICLE 8 shall be made in a lump sum within sixty-five (65) days following the Termination Date less applicable withholding taxes. Such payments shall not be reduced in the event Executive obtains other employment following termination of employment with the Bank or following a Change in Control. Notwithstanding anything herein to the contrary, if Executive is a Specified Employee, as defined in Code Section 409A, and if any payment to be made under ARTICLE 8 or any other arrangement between Executive and the Bank Entities shall be determined to be subject to Code Section 409A, then to the extent required by Code Section 409A to avoid accelerated taxation and/or tax penalties thereunder, such payment shall be delayed and shall be paid on the first day of the seventh month following Executive’s Separation from Service (within the meaning of Section 409A), or if earlier, upon Executive’s death.</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8.9</w:t>
      </w:r>
      <w:r>
        <w:rPr>
          <w:sz w:val="20"/>
          <w:szCs w:val="20"/>
          <w:color w:val="auto"/>
        </w:rPr>
        <w:tab/>
      </w:r>
      <w:r>
        <w:rPr>
          <w:rFonts w:ascii="Times New Roman" w:cs="Times New Roman" w:eastAsia="Times New Roman" w:hAnsi="Times New Roman"/>
          <w:sz w:val="19"/>
          <w:szCs w:val="19"/>
          <w:b w:val="1"/>
          <w:bCs w:val="1"/>
          <w:u w:val="single" w:color="auto"/>
          <w:color w:val="auto"/>
        </w:rPr>
        <w:t>Release Agreement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Notwithstanding anything in this Agreement to the contrary, Executive will not receive any payments or benefits under this ARTICLE 8, other than those set forth in Section 8.6 and the Accrued Obligations and Other Benefits, unless and until Executive executes a general release of claims in a form prescribed by the Bank (the “Release”) against the Bank Entities and any affiliate, and their officers, directors, successors and assigns, releasing said persons from any and all claims, rights, demands, causes of action, suits, arbitrations or grievances, including but not limited to those relating to the employment relationship, including claims under the Age Discrimination in Employment Act, but not including claims for benefits under tax-qualified plans or other benefit plans in which Executive is vested, claims which may not be released by applicable law or claims with respect to obligations set forth in this Agreement that survive the termination of this Agreement. The Release must be executed and become irrevocable by the 60th day following the Termination Date (the “Release Requirement”), provided that if the 60-day period spans two (2) calendar years, then, to the extent necessary to comply with Code Section 409A, the payments will be paid, or commence, in the second calendar year.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1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COVENANTS AND OBLIGATIONS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b w:val="1"/>
          <w:bCs w:val="1"/>
          <w:u w:val="single" w:color="auto"/>
          <w:color w:val="auto"/>
        </w:rPr>
        <w:t>Restrictive Covenant Agreement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In consideration of the payments and benefits provided hereunder, and as inducement for the Bank to enter into this Agreement, Executive must execute the Non-Disclosure and Restrictive Covenant Agreement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(the “Restrictive Covenant Agreement”) and comply therewith.</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b w:val="1"/>
          <w:bCs w:val="1"/>
          <w:u w:val="single" w:color="auto"/>
          <w:color w:val="auto"/>
        </w:rPr>
        <w:t>Cooperation</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Executive shall, upon reasonable notice, furnish such information and assistance to the Bank, as may reasonably be required by the Bank, in connection with any litigation in which it or any of its subsidiaries or affiliates is, or may become, a party; provided, however, that Executive shall not be required to provide information or assistance with respect to any litigation between Executive and the Bank or any of its subsidiaries or affiliates. Any assistance under this Section 9.2 shall not unreasonably interfere with Executive’s personal or business affairs. The Bank shall reimburse Executive for all reasonable out-of-pocket expenses incurred by Executive in fulfilling the obligations of this Section 9.2. To the extent Executive’s cooperation is requested at any point following the Employment Period, the Bank will pay Executive a reasonable hourly or per diem fee (calculated based on Executive’s most recent Base Salary under this Agreement) for Executive’s services that exceed either two (2) hours in a calendar month or five (5) hours in a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413" w:right="339" w:bottom="1440" w:gutter="0" w:footer="0" w:header="0"/>
        </w:sectPr>
      </w:pPr>
    </w:p>
    <w:bookmarkStart w:id="85" w:name="page86"/>
    <w:bookmarkEnd w:id="85"/>
    <w:p>
      <w:pPr>
        <w:jc w:val="right"/>
        <w:ind w:right="5060"/>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32"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9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b w:val="1"/>
          <w:bCs w:val="1"/>
          <w:u w:val="single" w:color="auto"/>
          <w:color w:val="auto"/>
        </w:rPr>
        <w:t>Regulatory Requirements</w:t>
      </w:r>
    </w:p>
    <w:p>
      <w:pPr>
        <w:spacing w:after="0" w:line="233" w:lineRule="exact"/>
        <w:rPr>
          <w:sz w:val="20"/>
          <w:szCs w:val="20"/>
          <w:color w:val="auto"/>
        </w:rPr>
      </w:pPr>
    </w:p>
    <w:p>
      <w:pPr>
        <w:jc w:val="both"/>
        <w:ind w:firstLine="1224"/>
        <w:spacing w:after="0" w:line="281" w:lineRule="auto"/>
        <w:tabs>
          <w:tab w:leader="none" w:pos="18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contained to the contrary, any payments or other provision of benefits to Executive by the Bank, whether pursuant to this Agreement or otherwise, are subject to and conditioned upon their compliance with Section 18(k) of the Federal Deposit Insurance Act, 12 U.S.C. Section 1828(k), and the regulations promulgated thereunder in 12 C.F.R. Part 359.</w:t>
      </w:r>
    </w:p>
    <w:p>
      <w:pPr>
        <w:spacing w:after="0" w:line="164" w:lineRule="exact"/>
        <w:rPr>
          <w:rFonts w:ascii="Times New Roman" w:cs="Times New Roman" w:eastAsia="Times New Roman" w:hAnsi="Times New Roman"/>
          <w:sz w:val="19"/>
          <w:szCs w:val="19"/>
          <w:color w:val="auto"/>
        </w:rPr>
      </w:pPr>
    </w:p>
    <w:p>
      <w:pPr>
        <w:jc w:val="both"/>
        <w:ind w:firstLine="1224"/>
        <w:spacing w:after="0" w:line="251" w:lineRule="auto"/>
        <w:tabs>
          <w:tab w:leader="none" w:pos="186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in this Agreement, (i) the Bank may terminate or suspend this Agreement and the employment of Executive hereunder, as if such termination were a termination for Just Cause under Section 8.2 hereof, to the extent required by federal or state laws or regulations related to banking, to deposit insurance or bank holding companies or by regulations or orders issued by the Federal Deposit Insurance Corporation or the Virginia Bureau of Financial Institutions and (ii) no payment shall be required to be made to Executive under this Agreement to the extent such payment is prohibited by applicable law regulation or order issued by a banking agency or a court of competent jurisdiction; provided, that it shall be the Bank’s burden to prove that any such action was so required.</w:t>
      </w:r>
    </w:p>
    <w:p>
      <w:pPr>
        <w:spacing w:after="0" w:line="189"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b w:val="1"/>
          <w:bCs w:val="1"/>
          <w:u w:val="single" w:color="auto"/>
          <w:color w:val="auto"/>
        </w:rPr>
        <w:t>Arbitration; Legal Fees</w:t>
      </w:r>
    </w:p>
    <w:p>
      <w:pPr>
        <w:spacing w:after="0" w:line="220" w:lineRule="exact"/>
        <w:rPr>
          <w:sz w:val="20"/>
          <w:szCs w:val="20"/>
          <w:color w:val="auto"/>
        </w:rPr>
      </w:pPr>
    </w:p>
    <w:p>
      <w:pPr>
        <w:jc w:val="both"/>
        <w:ind w:firstLine="1224"/>
        <w:spacing w:after="0" w:line="250" w:lineRule="auto"/>
        <w:tabs>
          <w:tab w:leader="none" w:pos="186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dispute should arise between the Parties as to the meaning, effect, performance, enforcement, or other issue in connection with this Agreement, which dispute cannot be resolved by the Parties, the dispute shall be decided by final and binding arbitration of a panel of three arbitrators. Proceedings in arbitration and its conduct shall be governed by the rules of the American Arbitration Association (“AAA”) applicable to commercial arbitrations (the “Rules”) except as modified by this Section. Executive shall appoint one arbitrator, the Bank shall appoint one arbitrator, and the third shall be appointed by the two arbitrators appointed by the Parties. The third arbitrator shall be impartial and shall serve as chairman of the panel. The Parties shall appoint their arbitrators within thirty (30) days after the demand for arbitration is served, failing which the AAA promptly shall appoint a defaulting Party’s arbitrator, and the two arbitrators shall select the third arbitrator within fifteen (15) days after their appointment, or if they cannot agree or fail to so appoint, then the AAA promptly shall appoint the third arbitrator. The arbitrators shall render their decision in writing within thirty (30) days after the close of evidence or other termination of the proceedings by the panel, and the decision of a majority of the arbitrators shall be final and binding upon the Parties, nonappealable, except in accordance with the Rules and enforceable in accordance with the applicable state law. Any hearings in the arbitration shall be held in the City of Alexandria, Virginia, unless the Parties agree on a different venue, and shall be private and not open to the public. Each Party shall bear the fees and expenses of its arbitrator, counsel, and witnesses, and the fees and expenses of the third arbitrator shall be shared equally by the Parties. The other costs of the arbitration, including the fees of AAA, shall be borne as directed in the decision of the panel.</w:t>
      </w:r>
    </w:p>
    <w:p>
      <w:pPr>
        <w:spacing w:after="0" w:line="186" w:lineRule="exact"/>
        <w:rPr>
          <w:rFonts w:ascii="Times New Roman" w:cs="Times New Roman" w:eastAsia="Times New Roman" w:hAnsi="Times New Roman"/>
          <w:sz w:val="20"/>
          <w:szCs w:val="20"/>
          <w:color w:val="auto"/>
        </w:rPr>
      </w:pPr>
    </w:p>
    <w:p>
      <w:pPr>
        <w:jc w:val="both"/>
        <w:ind w:firstLine="1224"/>
        <w:spacing w:after="0" w:line="258" w:lineRule="auto"/>
        <w:tabs>
          <w:tab w:leader="none" w:pos="186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Fees and Other Expenses</w:t>
      </w:r>
      <w:r>
        <w:rPr>
          <w:rFonts w:ascii="Times New Roman" w:cs="Times New Roman" w:eastAsia="Times New Roman" w:hAnsi="Times New Roman"/>
          <w:sz w:val="20"/>
          <w:szCs w:val="20"/>
          <w:color w:val="auto"/>
        </w:rPr>
        <w:t>. If Executive is successful on the merits of the dispute, as determined in the arbitration, all legal fees and such other expenses as reasonably incurred by Executive as a result of or in connection with or arising out of the dispute, shall be paid by the Bank, provided that such payment or reimbursement is made by the Bank not later than two and one-half months after the end of the year in which such dispute is resolved in Executive’s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160"/>
          </w:cols>
          <w:pgMar w:left="400" w:top="1409" w:right="339" w:bottom="1440" w:gutter="0" w:footer="0" w:header="0"/>
        </w:sectPr>
      </w:pPr>
    </w:p>
    <w:bookmarkStart w:id="86" w:name="page87"/>
    <w:bookmarkEnd w:id="86"/>
    <w:p>
      <w:pPr>
        <w:ind w:right="20" w:firstLine="1304"/>
        <w:spacing w:after="0" w:line="283" w:lineRule="auto"/>
        <w:tabs>
          <w:tab w:leader="none" w:pos="1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Section 10.2 shall not apply to any dispute arising between the Parties under the Restrictive Covenant Agreement. The dispute resolution provisions governing such agreement are set forth therein.</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b w:val="1"/>
          <w:bCs w:val="1"/>
          <w:u w:val="single" w:color="auto"/>
          <w:color w:val="auto"/>
        </w:rPr>
        <w:t>Indemnification and Insurance</w:t>
      </w:r>
    </w:p>
    <w:p>
      <w:pPr>
        <w:spacing w:after="0" w:line="233"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9"/>
          <w:szCs w:val="19"/>
          <w:color w:val="auto"/>
        </w:rPr>
        <w:t>The Bank shall provide Executive (including his heirs, executors and administrators) with coverage under a standard directors’ and officers’ liability insurance policy at its expense, and shall indemnify Executive (and his heirs, executors and administrators) to the fullest extent permitted under applicable law against all expenses and liabilities reasonably incurred by him in connection with or arising out of any action, suit or proceeding in which he may be involved by reason of his having been an officer of the Bank (whether or not he continues to be an officer at the time of incurring such expenses or liabilities), such expenses and liabilities to include, but not be limited to, judgments, court costs and attorneys’ fees and the cost of reasonable settlements (such settlements must be approved by the Bank Board); provided, however, that the Bank shall not be required to indemnify or reimburse Executive for legal expenses or liabilities incurred in connection with an action, suit or proceeding arising from any illegal or fraudulent act committed by Executive. Any such indemnification shall be made consistent with Section 18(k) of the Federal Deposit Insurance Act, 12 U.S.C.§1828(k), and the regulations issued thereunder in 12 C.F.R. Part 359.</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b w:val="1"/>
          <w:bCs w:val="1"/>
          <w:u w:val="single" w:color="auto"/>
          <w:color w:val="auto"/>
        </w:rPr>
        <w:t>Notices</w:t>
      </w:r>
    </w:p>
    <w:p>
      <w:pPr>
        <w:spacing w:after="0" w:line="233" w:lineRule="exact"/>
        <w:rPr>
          <w:sz w:val="20"/>
          <w:szCs w:val="20"/>
          <w:color w:val="auto"/>
        </w:rPr>
      </w:pPr>
    </w:p>
    <w:p>
      <w:pPr>
        <w:jc w:val="both"/>
        <w:ind w:firstLine="713"/>
        <w:spacing w:after="0" w:line="251" w:lineRule="auto"/>
        <w:rPr>
          <w:sz w:val="20"/>
          <w:szCs w:val="20"/>
          <w:color w:val="auto"/>
        </w:rPr>
      </w:pPr>
      <w:r>
        <w:rPr>
          <w:rFonts w:ascii="Times New Roman" w:cs="Times New Roman" w:eastAsia="Times New Roman" w:hAnsi="Times New Roman"/>
          <w:sz w:val="20"/>
          <w:szCs w:val="20"/>
          <w:color w:val="auto"/>
        </w:rPr>
        <w:t>The persons or addresses to which mailings or deliveries shall be made may change from time to time by notice given pursuant to the provisions of this Section 10.4. Any notice or other communication given pursuant to the provisions of this Section 10.4 shall be deemed to have been given (a) if sent by messenger, upon personal delivery to the Party to whom the notice is directed; (b) if sent by reputable overnight courier, one business day after delivery to such courier; (c) if sent by facsimile, upon electronic confirmation of receipt, (d) if sent by email, when transmitted to the appropriate email address, provided that no “error” message or other notification of non-delivery is generated, and (e) if sent by mail, three business days following deposit in the United States mail, properly addressed, postage prepaid, certified or registered mail with return receipt requested. All notices required or permitted to be given hereunder shall be addressed as follows:</w:t>
      </w:r>
    </w:p>
    <w:p>
      <w:pPr>
        <w:spacing w:after="0" w:line="182" w:lineRule="exact"/>
        <w:rPr>
          <w:sz w:val="20"/>
          <w:szCs w:val="20"/>
          <w:color w:val="auto"/>
        </w:rPr>
      </w:pPr>
    </w:p>
    <w:p>
      <w:pPr>
        <w:ind w:left="720"/>
        <w:spacing w:after="0"/>
        <w:tabs>
          <w:tab w:leader="none" w:pos="2120" w:val="left"/>
        </w:tabs>
        <w:rPr>
          <w:sz w:val="20"/>
          <w:szCs w:val="20"/>
          <w:color w:val="auto"/>
        </w:rPr>
      </w:pPr>
      <w:r>
        <w:rPr>
          <w:rFonts w:ascii="Times New Roman" w:cs="Times New Roman" w:eastAsia="Times New Roman" w:hAnsi="Times New Roman"/>
          <w:sz w:val="20"/>
          <w:szCs w:val="20"/>
          <w:color w:val="auto"/>
        </w:rPr>
        <w:t>If to Executive:</w:t>
      </w:r>
      <w:r>
        <w:rPr>
          <w:sz w:val="20"/>
          <w:szCs w:val="20"/>
          <w:color w:val="auto"/>
        </w:rPr>
        <w:tab/>
      </w:r>
      <w:r>
        <w:rPr>
          <w:rFonts w:ascii="Times New Roman" w:cs="Times New Roman" w:eastAsia="Times New Roman" w:hAnsi="Times New Roman"/>
          <w:sz w:val="19"/>
          <w:szCs w:val="19"/>
          <w:color w:val="auto"/>
        </w:rPr>
        <w:t>At the last address (including email address) on file with the Bank</w:t>
      </w:r>
    </w:p>
    <w:p>
      <w:pPr>
        <w:spacing w:after="0" w:line="229" w:lineRule="exact"/>
        <w:rPr>
          <w:sz w:val="20"/>
          <w:szCs w:val="20"/>
          <w:color w:val="auto"/>
        </w:rPr>
      </w:pPr>
    </w:p>
    <w:p>
      <w:pPr>
        <w:ind w:left="720"/>
        <w:spacing w:after="0"/>
        <w:tabs>
          <w:tab w:leader="none" w:pos="2040" w:val="left"/>
        </w:tabs>
        <w:rPr>
          <w:sz w:val="20"/>
          <w:szCs w:val="20"/>
          <w:color w:val="auto"/>
        </w:rPr>
      </w:pPr>
      <w:r>
        <w:rPr>
          <w:rFonts w:ascii="Times New Roman" w:cs="Times New Roman" w:eastAsia="Times New Roman" w:hAnsi="Times New Roman"/>
          <w:sz w:val="20"/>
          <w:szCs w:val="20"/>
          <w:color w:val="auto"/>
        </w:rPr>
        <w:t>If to the Bank:</w:t>
      </w:r>
      <w:r>
        <w:rPr>
          <w:sz w:val="20"/>
          <w:szCs w:val="20"/>
          <w:color w:val="auto"/>
        </w:rPr>
        <w:tab/>
      </w:r>
      <w:r>
        <w:rPr>
          <w:rFonts w:ascii="Times New Roman" w:cs="Times New Roman" w:eastAsia="Times New Roman" w:hAnsi="Times New Roman"/>
          <w:sz w:val="19"/>
          <w:szCs w:val="19"/>
          <w:color w:val="auto"/>
        </w:rPr>
        <w:t>Burke &amp; Herbert Bank &amp; Trust Company</w:t>
      </w:r>
    </w:p>
    <w:p>
      <w:pPr>
        <w:spacing w:after="0" w:line="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100 South Fairfax Street</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Alexandria, Virginia 22314</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Attention: Corporate Secretary</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b w:val="1"/>
          <w:bCs w:val="1"/>
          <w:u w:val="single" w:color="auto"/>
          <w:color w:val="auto"/>
        </w:rPr>
        <w:t>Amendment</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 modifications of this Agreement shall be valid unless made in writing and signed by the Parties hereto.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b w:val="1"/>
          <w:bCs w:val="1"/>
          <w:u w:val="single" w:color="auto"/>
          <w:color w:val="auto"/>
        </w:rPr>
        <w:t>Miscellaneous</w:t>
      </w:r>
    </w:p>
    <w:p>
      <w:pPr>
        <w:spacing w:after="0" w:line="220" w:lineRule="exact"/>
        <w:rPr>
          <w:sz w:val="20"/>
          <w:szCs w:val="20"/>
          <w:color w:val="auto"/>
        </w:rPr>
      </w:pPr>
    </w:p>
    <w:p>
      <w:pPr>
        <w:ind w:firstLine="1304"/>
        <w:spacing w:after="0" w:line="283" w:lineRule="auto"/>
        <w:tabs>
          <w:tab w:leader="none" w:pos="175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Any termination of Executive’s employment by the Bank shall be communicated in writing to Executive, and any voluntary termination of employment by Executive shall be communicated in writing to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1413" w:right="339" w:bottom="1440" w:gutter="0" w:footer="0" w:header="0"/>
        </w:sectPr>
      </w:pPr>
    </w:p>
    <w:bookmarkStart w:id="87" w:name="page88"/>
    <w:bookmarkEnd w:id="87"/>
    <w:p>
      <w:pPr>
        <w:jc w:val="both"/>
        <w:ind w:firstLine="1289"/>
        <w:spacing w:after="0" w:line="253" w:lineRule="auto"/>
        <w:tabs>
          <w:tab w:leader="none" w:pos="187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inure to the benefit of and be binding upon Executive, his legal representatives and estate and intestate distributees, and the Bank, its successors and assigns, including any successor by merger or consolidation or a statutory receiver or any other person or firm or corporation to which all or substantially all of the assets and business of the Bank may be sold or otherwise transferred. Any such successor of the Bank shall be deemed to have assumed this Agreement and to have become obligated hereunder to the same extent as the Bank, and Executive’s obligations hereunder shall continue in favor of such successor.</w:t>
      </w:r>
    </w:p>
    <w:p>
      <w:pPr>
        <w:spacing w:after="0" w:line="192" w:lineRule="exact"/>
        <w:rPr>
          <w:rFonts w:ascii="Times New Roman" w:cs="Times New Roman" w:eastAsia="Times New Roman" w:hAnsi="Times New Roman"/>
          <w:sz w:val="20"/>
          <w:szCs w:val="20"/>
          <w:color w:val="auto"/>
        </w:rPr>
      </w:pPr>
    </w:p>
    <w:p>
      <w:pPr>
        <w:ind w:right="20" w:firstLine="1289"/>
        <w:spacing w:after="0" w:line="269" w:lineRule="auto"/>
        <w:tabs>
          <w:tab w:leader="none" w:pos="186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 determination that any provision of this Agreement is invalid or unenforceable shall not affect the validity or enforceability of any other provision hereof.</w:t>
      </w:r>
    </w:p>
    <w:p>
      <w:pPr>
        <w:spacing w:after="0" w:line="172" w:lineRule="exact"/>
        <w:rPr>
          <w:rFonts w:ascii="Times New Roman" w:cs="Times New Roman" w:eastAsia="Times New Roman" w:hAnsi="Times New Roman"/>
          <w:sz w:val="20"/>
          <w:szCs w:val="20"/>
          <w:color w:val="auto"/>
        </w:rPr>
      </w:pPr>
    </w:p>
    <w:p>
      <w:pPr>
        <w:jc w:val="both"/>
        <w:ind w:firstLine="1289"/>
        <w:spacing w:after="0" w:line="258" w:lineRule="auto"/>
        <w:tabs>
          <w:tab w:leader="none" w:pos="187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Failure to insist upon strict compliance with any terms, covenants or conditions hereof shall not be deemed a waiver of such term, covenant or condition. A waiver of any provision of this Agreement must be made in writing, designated as a waiver, and signed by the Party against whom its enforcement is sought. Any waiver or relinquishment or any right or power hereunder at any one or more times shall not be deemed a waiver or relinquishment of such right or power at any other time or times.</w:t>
      </w:r>
    </w:p>
    <w:p>
      <w:pPr>
        <w:spacing w:after="0" w:line="172" w:lineRule="exact"/>
        <w:rPr>
          <w:rFonts w:ascii="Times New Roman" w:cs="Times New Roman" w:eastAsia="Times New Roman" w:hAnsi="Times New Roman"/>
          <w:sz w:val="20"/>
          <w:szCs w:val="20"/>
          <w:color w:val="auto"/>
        </w:rPr>
      </w:pPr>
    </w:p>
    <w:p>
      <w:pPr>
        <w:ind w:firstLine="1289"/>
        <w:spacing w:after="0" w:line="283" w:lineRule="auto"/>
        <w:tabs>
          <w:tab w:leader="none" w:pos="186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 be deemed an original, and all of which shall constitute one and the same Agreement.</w:t>
      </w:r>
    </w:p>
    <w:p>
      <w:pPr>
        <w:spacing w:after="0" w:line="146" w:lineRule="exact"/>
        <w:rPr>
          <w:rFonts w:ascii="Times New Roman" w:cs="Times New Roman" w:eastAsia="Times New Roman" w:hAnsi="Times New Roman"/>
          <w:sz w:val="20"/>
          <w:szCs w:val="20"/>
          <w:color w:val="auto"/>
        </w:rPr>
      </w:pPr>
    </w:p>
    <w:p>
      <w:pPr>
        <w:jc w:val="both"/>
        <w:ind w:firstLine="1289"/>
        <w:spacing w:after="0" w:line="268" w:lineRule="auto"/>
        <w:tabs>
          <w:tab w:leader="none" w:pos="187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and enforced in accordance with the laws of the Commonwealth of Virginia, without reference to conflicts of law principles, except to the extent governed by federal law in which case federal law shall govern.</w:t>
      </w:r>
    </w:p>
    <w:p>
      <w:pPr>
        <w:spacing w:after="0" w:line="161" w:lineRule="exact"/>
        <w:rPr>
          <w:rFonts w:ascii="Times New Roman" w:cs="Times New Roman" w:eastAsia="Times New Roman" w:hAnsi="Times New Roman"/>
          <w:sz w:val="20"/>
          <w:szCs w:val="20"/>
          <w:color w:val="auto"/>
        </w:rPr>
      </w:pPr>
    </w:p>
    <w:p>
      <w:pPr>
        <w:jc w:val="both"/>
        <w:ind w:firstLine="1289"/>
        <w:spacing w:after="0" w:line="261" w:lineRule="auto"/>
        <w:tabs>
          <w:tab w:leader="none" w:pos="187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and Construction</w:t>
      </w:r>
      <w:r>
        <w:rPr>
          <w:rFonts w:ascii="Times New Roman" w:cs="Times New Roman" w:eastAsia="Times New Roman" w:hAnsi="Times New Roman"/>
          <w:sz w:val="20"/>
          <w:szCs w:val="20"/>
          <w:color w:val="auto"/>
        </w:rPr>
        <w:t>. The headings of sections in this Agreement are for convenience of reference only and are not intended to qualify the meaning of any Article or Section. Any reference to an Article or Section number shall refer to an Article or Section of this Agreement, unless otherwise specified.</w:t>
      </w:r>
    </w:p>
    <w:p>
      <w:pPr>
        <w:spacing w:after="0" w:line="181" w:lineRule="exact"/>
        <w:rPr>
          <w:rFonts w:ascii="Times New Roman" w:cs="Times New Roman" w:eastAsia="Times New Roman" w:hAnsi="Times New Roman"/>
          <w:sz w:val="20"/>
          <w:szCs w:val="20"/>
          <w:color w:val="auto"/>
        </w:rPr>
      </w:pPr>
    </w:p>
    <w:p>
      <w:pPr>
        <w:jc w:val="both"/>
        <w:ind w:firstLine="1289"/>
        <w:spacing w:after="0" w:line="258" w:lineRule="auto"/>
        <w:tabs>
          <w:tab w:leader="none" w:pos="187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instrument contains the entire agreement of the Parties relating to the subject matter hereof and supersedes in its entirety any and all prior agreements, understandings or representations relating to the subject matter hereof, including that certain amended and restated employment agreement made and entered into on December 26, 2008 by and among Summit, Summit Community Bank and Executive, as amended from time to time.</w:t>
      </w:r>
    </w:p>
    <w:p>
      <w:pPr>
        <w:spacing w:after="0" w:line="168"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b w:val="1"/>
          <w:bCs w:val="1"/>
          <w:u w:val="single" w:color="auto"/>
          <w:color w:val="auto"/>
        </w:rPr>
        <w:t>Section 409A</w:t>
      </w:r>
    </w:p>
    <w:p>
      <w:pPr>
        <w:spacing w:after="0" w:line="233"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20"/>
          <w:szCs w:val="20"/>
          <w:color w:val="auto"/>
        </w:rPr>
        <w:t>It is the intention of the Parties that the benefits and rights to which Executive could be entitled pursuant to this Agreement be exempt from or comply with Section 409A, and the provisions of this Agreement shall be construed in a manner consistent with that intent and the requirements for avoiding taxes or penalties under Section 409A. If either Party believes, at any time, that any such benefit or right that is subject to Section 409A does not so comply, it shall promptly advise the other Party and both Parties shall negotiate reasonably and in good faith to amend or clarify the terms of such benefits and rights such that they do not violate Section 409A (with the intent and effect of avoiding any adverse economic effect for Executive). No Party,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 If and to the extent required to comply with Section 409A, no payment or benefit required to be paid under this Agreement on account of termination of Executive’s employment shall be made unless and until Executive incurs a “Separation from Service” within the meaning of Section 409A and, for purposes of any such provision of this Agreement, references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160"/>
          </w:cols>
          <w:pgMar w:left="400" w:top="1413" w:right="339" w:bottom="1440" w:gutter="0" w:footer="0" w:header="0"/>
        </w:sectPr>
      </w:pPr>
    </w:p>
    <w:bookmarkStart w:id="88" w:name="page89"/>
    <w:bookmarkEnd w:id="88"/>
    <w:p>
      <w:pPr>
        <w:jc w:val="both"/>
        <w:ind w:left="80"/>
        <w:spacing w:after="0" w:line="251" w:lineRule="auto"/>
        <w:rPr>
          <w:sz w:val="20"/>
          <w:szCs w:val="20"/>
          <w:color w:val="auto"/>
        </w:rPr>
      </w:pPr>
      <w:r>
        <w:rPr>
          <w:rFonts w:ascii="Times New Roman" w:cs="Times New Roman" w:eastAsia="Times New Roman" w:hAnsi="Times New Roman"/>
          <w:sz w:val="20"/>
          <w:szCs w:val="20"/>
          <w:color w:val="auto"/>
        </w:rPr>
        <w:t>“termination,” “termination of employment,” “separation from service” or like terms shall mean Separation from Service. For purposes of applying the provisions of Section 409A to this Agreement, each amount to be paid or benefit to be provided to Executive pursuant to this Agreement, and each individual installment in a series of payments, shall be construed as a separate identified payment for purposes of Section 409A, and any payments described in this Agreement that are due within the “short term deferral period” as defined in Section 409A shall not be treated as deferred compensation unless applicable law requires otherwise. To the extent they are subject to Section 409A, amounts reimbursable to Executive shall be paid to Executive on or before the last day of the year following the year in which the expense was incurred and the amount of expenses eligible for reimbursement (and in-kind benefits provided to Executive) during one year may not affect amounts reimbursable or provided in any subsequent year.</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the foregoing, the Bank makes no guarantee as to the treatment of payments and benefits hereunder under Section 409A, and Executive shall be solely responsible for the payment of any taxes, penalties, interest or other expenses incurred by Executive on account of non-compliance with Section 409A.</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b w:val="1"/>
          <w:bCs w:val="1"/>
          <w:u w:val="single" w:color="auto"/>
          <w:color w:val="auto"/>
        </w:rPr>
        <w:t>Tax Matters</w:t>
      </w:r>
    </w:p>
    <w:p>
      <w:pPr>
        <w:spacing w:after="0" w:line="220" w:lineRule="exact"/>
        <w:rPr>
          <w:sz w:val="20"/>
          <w:szCs w:val="20"/>
          <w:color w:val="auto"/>
        </w:rPr>
      </w:pPr>
    </w:p>
    <w:p>
      <w:pPr>
        <w:jc w:val="both"/>
        <w:ind w:firstLine="1304"/>
        <w:spacing w:after="0" w:line="258" w:lineRule="auto"/>
        <w:tabs>
          <w:tab w:leader="none" w:pos="193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provisions in plans or arrangements with Executive, including those put into effect by Summit or its affiliates, that provide for the cutback of payments or benefits to avoid treating such payments or benefits as an excess parachute payment, including without limitation Section 2.12 of that certain 2016 Salary Continuation Agreement, shall remain in full force and effect, and apply to payments or benefits in connection with the Merger and any subsequent change in control of the Bank Entities, to the extent applicable.</w:t>
      </w:r>
    </w:p>
    <w:p>
      <w:pPr>
        <w:spacing w:after="0" w:line="18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3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Section 10.8(a), in the event the receipt of all payments, benefits or distributions in the nature of compensation (within the meaning of Section 280G(b)(2) of the Code), whether paid or payable pursuant to this Agreement or otherwise (the “Change in Control Benefits”) would subject Executive to an excise tax imposed by Code Sections 280G and 4999, then such payments and/or benefits (the “Payments”) shall be reduced by the minimum amount necessary so that no portion of the Payments under this Agreement are non-deductible to the Bank pursuant to Code Section 280G and subject to the excise tax imposed under Code Section 4999 (the “Reduced Amount”). Any such reduction shall be implemented by determining the Parachute Payment Ratio (as defined below), as determined in good faith by the Bank, for each Payment and then reducing the Payments in order beginning with the Payment with the highest Parachute Payment Ratio. For any Payments with the same Parachute Payment Ratio, such Payments will be reduced based on the time of payment of such Payments, with the latest Payments reduced first. For payments with the same Parachute Ratio and the same time of payment, each such Payment will be reduced proportionately. For purposes hereof, the term “Parachute Payment Ratio” shall mean a fraction, (x) the numerator of which is the value of the applicable total Payments (as calculated for purposes of Code Section 280G) and (y) the denominator of which is the intrinsic (i.e., economic) value of the applicable total Payments. Notwithstanding the foregoing, the Payments will not be reduced if it is determined that without such reduction, the Change in Control Benefits received by Executive on a net after-tax basis (including without limitation, any reduction for excise taxes payable under Code Section 4999) is greater than the Change in Control Benefits that Executive would receive, on a net after-tax benefit, if Executive is paid the Reduced Amount under the Agreement.</w:t>
      </w:r>
    </w:p>
    <w:p>
      <w:pPr>
        <w:spacing w:after="0" w:line="187"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in writing by the Parties, all calculations with respect to Sections 280G and 4999 of the Code required under this Section 10.8 shall be determined by a 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1413" w:right="339" w:bottom="1440" w:gutter="0" w:footer="0" w:header="0"/>
        </w:sectPr>
      </w:pPr>
    </w:p>
    <w:bookmarkStart w:id="89" w:name="page90"/>
    <w:bookmarkEnd w:id="89"/>
    <w:p>
      <w:pPr>
        <w:spacing w:after="0" w:line="283" w:lineRule="auto"/>
        <w:rPr>
          <w:sz w:val="20"/>
          <w:szCs w:val="20"/>
          <w:color w:val="auto"/>
        </w:rPr>
      </w:pPr>
      <w:r>
        <w:rPr>
          <w:rFonts w:ascii="Times New Roman" w:cs="Times New Roman" w:eastAsia="Times New Roman" w:hAnsi="Times New Roman"/>
          <w:sz w:val="20"/>
          <w:szCs w:val="20"/>
          <w:color w:val="auto"/>
        </w:rPr>
        <w:t>recognized firm with appropriate expertise mutually agreeable to the Bank and Executive (the “Firm”) whose determination will be conclusive and binding on all Parties. The Bank shall pay all fees charged by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40"/>
          </w:cols>
          <w:pgMar w:left="320" w:top="1413" w:right="339" w:bottom="1440" w:gutter="0" w:footer="0" w:header="0"/>
        </w:sectPr>
      </w:pPr>
    </w:p>
    <w:bookmarkStart w:id="90" w:name="page91"/>
    <w:bookmarkEnd w:id="90"/>
    <w:p>
      <w:pPr>
        <w:jc w:val="both"/>
        <w:spacing w:after="0" w:line="253" w:lineRule="auto"/>
        <w:rPr>
          <w:sz w:val="20"/>
          <w:szCs w:val="20"/>
          <w:color w:val="auto"/>
        </w:rPr>
      </w:pPr>
      <w:r>
        <w:rPr>
          <w:rFonts w:ascii="Times New Roman" w:cs="Times New Roman" w:eastAsia="Times New Roman" w:hAnsi="Times New Roman"/>
          <w:sz w:val="20"/>
          <w:szCs w:val="20"/>
          <w:color w:val="auto"/>
        </w:rPr>
        <w:t>the Firm for this purpose. The Bank and Executive shall provide the Firm with all information or documents it reasonably requests, and the Firm will be entitled to rely on such information and on reasonable estimates and assumptions and interpretations of the provisions of Sections 280G and 4999 of the Code. If it is determined that the Payments should be reduced as a result of the Section 280G calculations performed by the Firm, the Bank shall promptly give (or cause the Firm to give) Executive notice to that effect and a copy of the detailed calculations thereof. All determinations made under this Section 10.8 shall be made as soon as reasonably practicable.</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b w:val="1"/>
          <w:bCs w:val="1"/>
          <w:u w:val="single" w:color="auto"/>
          <w:color w:val="auto"/>
        </w:rPr>
        <w:t>Withholding</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Bank Entities may withhold from any amounts payable under this Agreement required federal, state, local and foreign taxes.</w:t>
      </w:r>
    </w:p>
    <w:p>
      <w:pPr>
        <w:spacing w:after="0" w:line="21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b w:val="1"/>
          <w:bCs w:val="1"/>
          <w:u w:val="single" w:color="auto"/>
          <w:color w:val="auto"/>
        </w:rPr>
        <w:t>Advice of Counsel</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Executive acknowledges that he has had the opportunity to be represented by counsel in the negotiation of this Agreement and is fully aware of his rights and obligations under this Agreement. This Agreement is the product of informed negotiations between Executive and the Bank. If any part of this Agreement is deemed to be unclear or ambiguous, it shall be construed as if it were drafted jointly by all parties. Executive and the Bank agree that none of the parties was in a superior bargaining position regarding the substantive terms of this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40"/>
          </w:cols>
          <w:pgMar w:left="320" w:top="141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Bank and Executive have duly executed this Agreement as of the day and year first written above.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Bradford E. Ritchie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Bradford E. Ritchie</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Bradford E. Ritchie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Burke &amp; Herbert Bank &amp; Trust Company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David P. Boyle</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David P. Boyle</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Employment Agreement with Bradford E. Ritchie</w:t>
      </w:r>
      <w:r>
        <w:rPr>
          <w:rFonts w:ascii="Times New Roman" w:cs="Times New Roman" w:eastAsia="Times New Roman" w:hAnsi="Times New Roman"/>
          <w:sz w:val="21"/>
          <w:szCs w:val="21"/>
          <w:color w:val="auto"/>
        </w:rPr>
        <w:t>]</w:t>
      </w:r>
    </w:p>
    <w:p>
      <w:pPr>
        <w:sectPr>
          <w:pgSz w:w="11900" w:h="16838" w:orient="portrait"/>
          <w:cols w:equalWidth="0" w:num="1">
            <w:col w:w="10059"/>
          </w:cols>
          <w:pgMar w:left="400" w:top="11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059"/>
          </w:cols>
          <w:pgMar w:left="400" w:top="1149" w:right="1440"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Employment Agreement (this “Agreement”) is dated as of August 24, 2023 (the “Signing Date”) by and between Burke &amp; Herbert Bank &amp; Trust Company, a Virginia community bank (the “Bank”), and Robert S. Tissue (“Executive”). This Agreement collectively refers to the Bank and Executive as the “Parties,” and separately may refer to any one of the Parties as a “Party.”</w:t>
      </w:r>
    </w:p>
    <w:p>
      <w:pPr>
        <w:spacing w:after="0" w:line="17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Bank is the wholly-owned Virginia chartered commercial bank subsidiary of Burke &amp; Herbert Financial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 (the “Company”);</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on the Signing Date, the Company and Summit Financial Group, Inc., a West Virginia corporation (“Summit”) entered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an Agreement and Plan of Reorganization (the “Merger Agreement”) under which Summit will merge with and into the Company (the “Merger”), with the Company being the surviving corporation;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Executive is presently the Chief Financial Officer of Summit; and</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based on Executive’s position as a key executive officer of Summit and as a material inducement for the Company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 into the Merger Agreement, Executive and the Company have agreed that upon the consummation of the Merger, Executive shall become an employee of the Bank under the terms and conditions set forth herein.</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mutual covenants herein contained, upon the other terms and conditions hereinafter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and for the good and valuable consideration (the receipt and sufficiency of which is hereby acknowledged), the Parties hereby agree as follows:</w:t>
      </w:r>
    </w:p>
    <w:p>
      <w:pPr>
        <w:spacing w:after="0" w:line="15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b w:val="1"/>
          <w:bCs w:val="1"/>
          <w:u w:val="single" w:color="auto"/>
          <w:color w:val="auto"/>
        </w:rPr>
        <w:t>Definitions</w:t>
      </w:r>
    </w:p>
    <w:p>
      <w:pPr>
        <w:spacing w:after="0" w:line="2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addition to terms defined elsewhere in this Agreement, when used anywhere in this Agreement the following terms shall have the meaning set forth below.</w:t>
      </w:r>
    </w:p>
    <w:p>
      <w:pPr>
        <w:spacing w:after="0" w:line="142" w:lineRule="exact"/>
        <w:rPr>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“Bank Board” </w:t>
      </w:r>
      <w:r>
        <w:rPr>
          <w:rFonts w:ascii="Times New Roman" w:cs="Times New Roman" w:eastAsia="Times New Roman" w:hAnsi="Times New Roman"/>
          <w:sz w:val="20"/>
          <w:szCs w:val="20"/>
          <w:color w:val="auto"/>
        </w:rPr>
        <w:t>shall mean the Board of Directors of the Bank.</w:t>
      </w:r>
    </w:p>
    <w:p>
      <w:pPr>
        <w:spacing w:after="0" w:line="229" w:lineRule="exact"/>
        <w:rPr>
          <w:rFonts w:ascii="Times New Roman" w:cs="Times New Roman" w:eastAsia="Times New Roman" w:hAnsi="Times New Roman"/>
          <w:sz w:val="20"/>
          <w:szCs w:val="20"/>
          <w:color w:val="auto"/>
        </w:rPr>
      </w:pPr>
    </w:p>
    <w:p>
      <w:pPr>
        <w:ind w:right="20" w:firstLine="1304"/>
        <w:spacing w:after="0" w:line="273" w:lineRule="auto"/>
        <w:tabs>
          <w:tab w:leader="none" w:pos="19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“Bank Entities” </w:t>
      </w:r>
      <w:r>
        <w:rPr>
          <w:rFonts w:ascii="Times New Roman" w:cs="Times New Roman" w:eastAsia="Times New Roman" w:hAnsi="Times New Roman"/>
          <w:sz w:val="20"/>
          <w:szCs w:val="20"/>
          <w:color w:val="auto"/>
        </w:rPr>
        <w:t>shall mean the Bank, the Company and any entity directly or indirectly controlling, controlled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under common control with the Bank or the Company.</w:t>
      </w:r>
    </w:p>
    <w:p>
      <w:pPr>
        <w:spacing w:after="0" w:line="165" w:lineRule="exact"/>
        <w:rPr>
          <w:rFonts w:ascii="Times New Roman" w:cs="Times New Roman" w:eastAsia="Times New Roman" w:hAnsi="Times New Roman"/>
          <w:sz w:val="20"/>
          <w:szCs w:val="20"/>
          <w:color w:val="auto"/>
        </w:rPr>
      </w:pPr>
    </w:p>
    <w:p>
      <w:pPr>
        <w:ind w:firstLine="1304"/>
        <w:spacing w:after="0" w:line="273" w:lineRule="auto"/>
        <w:tabs>
          <w:tab w:leader="none" w:pos="193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Control” </w:t>
      </w:r>
      <w:r>
        <w:rPr>
          <w:rFonts w:ascii="Times New Roman" w:cs="Times New Roman" w:eastAsia="Times New Roman" w:hAnsi="Times New Roman"/>
          <w:sz w:val="20"/>
          <w:szCs w:val="20"/>
          <w:color w:val="auto"/>
        </w:rPr>
        <w:t>shall mean (i) a change in the ownership of the Bank, (ii) a change in the effective control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Bank, or (iii) a change in the ownership of a substantial portion of the assets of the Bank, in each instance as described below:</w:t>
      </w:r>
    </w:p>
    <w:p>
      <w:pPr>
        <w:spacing w:after="0" w:line="169"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9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ownership occurs on the date that any one person, or more than one person acting as a group (as defined in Treasury regulation section 1.409A-3(i)(5)(v)(B)), acquires ownership of stock of the Bank that, together with stock held by such person or group, constitutes more than 50% of the total fair market value or total voting power of the stock of such corporation.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4" w:right="339" w:bottom="1440" w:gutter="0" w:footer="0" w:header="0"/>
        </w:sectPr>
      </w:pPr>
    </w:p>
    <w:bookmarkStart w:id="93" w:name="page94"/>
    <w:bookmarkEnd w:id="93"/>
    <w:p>
      <w:pPr>
        <w:jc w:val="both"/>
        <w:ind w:firstLine="1952"/>
        <w:spacing w:after="0" w:line="251" w:lineRule="auto"/>
        <w:tabs>
          <w:tab w:leader="none" w:pos="259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effective control of the Bank occurs on the date that either (A) any one person, or more than one person acting as a group (as defined in Treasury regulation section 1.409A-3(i)(5)(v)(B), acquires (or has acquired during the 12-month period ending on the date of the most recent acquisition by such person or persons) ownership of stock of the Bank possessing 30% or more of the total voting power of the stock of the Bank, excluding, solely for purposes of this Section 1.1(c)(ii), any such person or persons acting as a group who owns 30% or more of the total voting power of the stock of the Bank as of the Effective Date of this Agreement) or (B) a majority of the members of the Bank Board is replaced during any 12 month period by directors whose appointment or election is not endorsed by a majority of the members of the Bank Board prior to the date of the appointment or election, provided that this sub-section (ii) is inapplicable where a majority shareholder of the Bank is another corporation.</w:t>
      </w:r>
    </w:p>
    <w:p>
      <w:pPr>
        <w:spacing w:after="0" w:line="19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4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ownership of a substantial portion of the Bank’s assets occurs on the date that any one person or more than one person acting as a group (as defined in Treasury regulation section 1.409A-3(i)(5)(vii)(C)) acquires (or has acquired during the 12 month period ending on the date of the most recent acquisition by such person or persons) assets from the Bank that have a total gross fair market value equal to or more than 40% of the total gross fair market value of (A) all of the assets of the Bank, or (B) the value of the assets being disposed of, either of which is determined without regard to any liabilities associated with such assets.</w:t>
      </w:r>
    </w:p>
    <w:p>
      <w:pPr>
        <w:spacing w:after="0" w:line="192"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For all purposes hereunder, no event shall be a Change in Control unless such event is also a “change in control event” within the meaning of Treasury regulation section 1.409A-3(i)(5).</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C2C2C"/>
        </w:rPr>
        <w:t>Solely for purposes of this Section 1.1(c), references to the term “Bank” shall mean “the Bank or the Company.”</w:t>
      </w:r>
    </w:p>
    <w:p>
      <w:pPr>
        <w:spacing w:after="0" w:line="225" w:lineRule="exact"/>
        <w:rPr>
          <w:sz w:val="20"/>
          <w:szCs w:val="20"/>
          <w:color w:val="auto"/>
        </w:rPr>
      </w:pPr>
    </w:p>
    <w:p>
      <w:pPr>
        <w:ind w:firstLine="1304"/>
        <w:spacing w:after="0" w:line="273" w:lineRule="auto"/>
        <w:tabs>
          <w:tab w:leader="none" w:pos="193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“Code” </w:t>
      </w:r>
      <w:r>
        <w:rPr>
          <w:rFonts w:ascii="Times New Roman" w:cs="Times New Roman" w:eastAsia="Times New Roman" w:hAnsi="Times New Roman"/>
          <w:sz w:val="20"/>
          <w:szCs w:val="20"/>
          <w:color w:val="auto"/>
        </w:rPr>
        <w:t>shall mean the Internal Revenue Code of 1986, as amended, and as interpreted through applicable rulings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regulations, in each case from time to time.</w:t>
      </w:r>
    </w:p>
    <w:p>
      <w:pPr>
        <w:spacing w:after="0" w:line="16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 Board” </w:t>
      </w:r>
      <w:r>
        <w:rPr>
          <w:rFonts w:ascii="Times New Roman" w:cs="Times New Roman" w:eastAsia="Times New Roman" w:hAnsi="Times New Roman"/>
          <w:sz w:val="20"/>
          <w:szCs w:val="20"/>
          <w:color w:val="auto"/>
        </w:rPr>
        <w:t>shall mean the Board of Directors of the Company.</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“Disability” </w:t>
      </w:r>
      <w:r>
        <w:rPr>
          <w:rFonts w:ascii="Times New Roman" w:cs="Times New Roman" w:eastAsia="Times New Roman" w:hAnsi="Times New Roman"/>
          <w:sz w:val="20"/>
          <w:szCs w:val="20"/>
          <w:color w:val="auto"/>
        </w:rPr>
        <w:t>shall mean Executive’s absence from performance of duties during the Employment Period for 180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days in any twelve-month period (exclusive of any FMLA leave taken by Executive) due to Executive’s physical or mental illness. Evidence of such physical or mental illness shall be certified by a physician licensed to practice in the Commonwealth of Virginia or State of West Virginia mutually agreeable to both Parties. If there is no agreement on the selection of the physician, the Bank shall select on physician and Executive shall select on physician, and the two physicians shall attempt to mutually agree upon such physical or mental disability. If the two physicians cannot agree, then the two physicians shall jointly select a third physician, whose opinion on the determination of such physical or mental disability shall control.</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“Employment Period</w:t>
      </w:r>
      <w:r>
        <w:rPr>
          <w:rFonts w:ascii="Times New Roman" w:cs="Times New Roman" w:eastAsia="Times New Roman" w:hAnsi="Times New Roman"/>
          <w:sz w:val="19"/>
          <w:szCs w:val="19"/>
          <w:color w:val="auto"/>
        </w:rPr>
        <w:t>” shall mean Executive’s employment during the Term and, if applicable, each Renewal Term</w:t>
      </w:r>
    </w:p>
    <w:p>
      <w:pPr>
        <w:spacing w:after="0" w:line="4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hereunder.</w:t>
      </w:r>
    </w:p>
    <w:p>
      <w:pPr>
        <w:spacing w:after="0" w:line="209" w:lineRule="exact"/>
        <w:rPr>
          <w:rFonts w:ascii="Times New Roman" w:cs="Times New Roman" w:eastAsia="Times New Roman" w:hAnsi="Times New Roman"/>
          <w:sz w:val="19"/>
          <w:szCs w:val="19"/>
          <w:color w:val="auto"/>
        </w:rPr>
      </w:pPr>
    </w:p>
    <w:p>
      <w:pPr>
        <w:ind w:right="20" w:firstLine="1304"/>
        <w:spacing w:after="0" w:line="273" w:lineRule="auto"/>
        <w:tabs>
          <w:tab w:leader="none" w:pos="193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“Good Reason” </w:t>
      </w:r>
      <w:r>
        <w:rPr>
          <w:rFonts w:ascii="Times New Roman" w:cs="Times New Roman" w:eastAsia="Times New Roman" w:hAnsi="Times New Roman"/>
          <w:sz w:val="20"/>
          <w:szCs w:val="20"/>
          <w:color w:val="auto"/>
        </w:rPr>
        <w:t>shall mean any of the following events set forth in this definition of “Good Reason,” each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prior consent:</w:t>
      </w:r>
    </w:p>
    <w:p>
      <w:pPr>
        <w:spacing w:after="0" w:line="16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4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Executive’s duties or responsibilities, including the failure to re-appoint Executive to the officer position set forth under Section 3.1, except in connection with Executive’s death, Disability, termination for Just Cause (as hereinafter defined) or voluntary resignation other than for Good Reason;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9" w:right="339" w:bottom="1440" w:gutter="0" w:footer="0" w:header="0"/>
        </w:sectPr>
      </w:pPr>
    </w:p>
    <w:bookmarkStart w:id="94" w:name="page95"/>
    <w:bookmarkEnd w:id="94"/>
    <w:p>
      <w:pPr>
        <w:ind w:right="20" w:firstLine="1952"/>
        <w:spacing w:after="0" w:line="283" w:lineRule="auto"/>
        <w:tabs>
          <w:tab w:leader="none" w:pos="259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Executive’s Base Salary (except for any reduction that is part of an employee or executive-wide reduction in pay) as set forth in Section 4.1 ;</w:t>
      </w:r>
    </w:p>
    <w:p>
      <w:pPr>
        <w:spacing w:after="0" w:line="14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breach of this Agreement by the Bank; or</w:t>
      </w:r>
    </w:p>
    <w:p>
      <w:pPr>
        <w:spacing w:after="0" w:line="229"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9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relocation of Executive’s principal place of employment to an office that is more than twenty-five (25) miles from the office location described in Section 7.1 of this Agreement, other than an office relocation that reduces the distance (measured in miles) of Executive’s commute from his place of residence to the office.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modifications in Executive’s duties and responsibilities as a result of Executive’s transition from his position at Summit to his position at the Bank and the Company following the Merger shall not give rise to “Good Reason.” In addition, the timely delivery by the Bank of a Non-Renewal Notice to Executive shall not give rise to “Good Reason.”</w:t>
      </w:r>
    </w:p>
    <w:p>
      <w:pPr>
        <w:spacing w:after="0" w:line="164" w:lineRule="exact"/>
        <w:rPr>
          <w:sz w:val="20"/>
          <w:szCs w:val="20"/>
          <w:color w:val="auto"/>
        </w:rPr>
      </w:pPr>
    </w:p>
    <w:p>
      <w:pPr>
        <w:jc w:val="both"/>
        <w:ind w:firstLine="1304"/>
        <w:spacing w:after="0" w:line="270" w:lineRule="auto"/>
        <w:tabs>
          <w:tab w:leader="none" w:pos="1942"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Healthcare Coverage</w:t>
      </w:r>
      <w:r>
        <w:rPr>
          <w:rFonts w:ascii="Times New Roman" w:cs="Times New Roman" w:eastAsia="Times New Roman" w:hAnsi="Times New Roman"/>
          <w:sz w:val="20"/>
          <w:szCs w:val="20"/>
          <w:color w:val="auto"/>
        </w:rPr>
        <w:t>” means coverage for Executive and Executive’s tax-qualified dependents under the Bank’s medical, dental and vision plans, based on the applicable plans and Executive’s coverage elections in effect immediately prior to the Termination Date.</w:t>
      </w:r>
    </w:p>
    <w:p>
      <w:pPr>
        <w:spacing w:after="0" w:line="15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“Just Cause” </w:t>
      </w:r>
      <w:r>
        <w:rPr>
          <w:rFonts w:ascii="Times New Roman" w:cs="Times New Roman" w:eastAsia="Times New Roman" w:hAnsi="Times New Roman"/>
          <w:sz w:val="20"/>
          <w:szCs w:val="20"/>
          <w:color w:val="auto"/>
        </w:rPr>
        <w:t>shall mean Executive’s:</w:t>
      </w:r>
    </w:p>
    <w:p>
      <w:pPr>
        <w:spacing w:after="0" w:line="233" w:lineRule="exact"/>
        <w:rPr>
          <w:rFonts w:ascii="Times New Roman" w:cs="Times New Roman" w:eastAsia="Times New Roman" w:hAnsi="Times New Roman"/>
          <w:sz w:val="20"/>
          <w:szCs w:val="20"/>
          <w:color w:val="auto"/>
        </w:rPr>
      </w:pPr>
    </w:p>
    <w:p>
      <w:pPr>
        <w:ind w:firstLine="1952"/>
        <w:spacing w:after="0" w:line="269" w:lineRule="auto"/>
        <w:tabs>
          <w:tab w:leader="none" w:pos="2590"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 act or omission that, in the judgment of the Company Board, has caused or will likely cause substantial economic damage to the Bank or substantial injury to the business reputation of the Bank;</w:t>
      </w:r>
    </w:p>
    <w:p>
      <w:pPr>
        <w:spacing w:after="0" w:line="172" w:lineRule="exact"/>
        <w:rPr>
          <w:rFonts w:ascii="Times New Roman" w:cs="Times New Roman" w:eastAsia="Times New Roman" w:hAnsi="Times New Roman"/>
          <w:sz w:val="20"/>
          <w:szCs w:val="20"/>
          <w:color w:val="auto"/>
        </w:rPr>
      </w:pPr>
    </w:p>
    <w:p>
      <w:pPr>
        <w:ind w:firstLine="1952"/>
        <w:spacing w:after="0" w:line="283" w:lineRule="auto"/>
        <w:tabs>
          <w:tab w:leader="none" w:pos="2591"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or acts of dishonesty or fraud intended to result in enrichment or advantage to Executive or a third party at the expense of the Bank or through the use of assets of the Bank (including proprietary or confidential information);</w:t>
      </w:r>
    </w:p>
    <w:p>
      <w:pPr>
        <w:spacing w:after="0" w:line="146"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92"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 failure (other than due to physical or mental incapacity) to carry out Executive’s duties and responsibilities to the Bank, including any reasonable directions from the Bank Board or Company Board, within the standards of performance which could reasonably be expected of an executive working for a banking institution in a similar position, if such willful failure continues for forty-five (45) days or more after written notice of such failure is provided to Executive by the Bank;</w:t>
      </w:r>
    </w:p>
    <w:p>
      <w:pPr>
        <w:spacing w:after="0" w:line="185" w:lineRule="exact"/>
        <w:rPr>
          <w:rFonts w:ascii="Times New Roman" w:cs="Times New Roman" w:eastAsia="Times New Roman" w:hAnsi="Times New Roman"/>
          <w:sz w:val="20"/>
          <w:szCs w:val="20"/>
          <w:color w:val="auto"/>
        </w:rPr>
      </w:pPr>
    </w:p>
    <w:p>
      <w:pPr>
        <w:jc w:val="both"/>
        <w:ind w:firstLine="1952"/>
        <w:spacing w:after="0" w:line="251" w:lineRule="auto"/>
        <w:tabs>
          <w:tab w:leader="none" w:pos="2581"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 failure or refusal (A) to comply with any material term or provision of this Agreement, (B) to adhere to the material terms of such employment-related policies or procedures as have been or may be established by the Bank, or (C) to execute and comply with the material terms of such instruments as may reasonably be requested by the Bank consistent with the foregoing clauses</w:t>
      </w:r>
    </w:p>
    <w:p>
      <w:pPr>
        <w:spacing w:after="0" w:line="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 including, without limitation, the Bank’s rules and policies with respect to conduct and ethics;</w:t>
      </w:r>
    </w:p>
    <w:p>
      <w:pPr>
        <w:spacing w:after="0" w:line="207" w:lineRule="exact"/>
        <w:rPr>
          <w:rFonts w:ascii="Times New Roman" w:cs="Times New Roman" w:eastAsia="Times New Roman" w:hAnsi="Times New Roman"/>
          <w:sz w:val="20"/>
          <w:szCs w:val="20"/>
          <w:color w:val="auto"/>
        </w:rPr>
      </w:pPr>
    </w:p>
    <w:p>
      <w:pPr>
        <w:ind w:right="20" w:firstLine="1952"/>
        <w:spacing w:after="0" w:line="269" w:lineRule="auto"/>
        <w:tabs>
          <w:tab w:leader="none" w:pos="2580"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conviction or entry of a plea of guilty or nolo contendere or entry into a pretrial diversion program or similar program relating to a felony or any crime involving moral turpitude;</w:t>
      </w:r>
    </w:p>
    <w:p>
      <w:pPr>
        <w:spacing w:after="0" w:line="172" w:lineRule="exact"/>
        <w:rPr>
          <w:rFonts w:ascii="Times New Roman" w:cs="Times New Roman" w:eastAsia="Times New Roman" w:hAnsi="Times New Roman"/>
          <w:sz w:val="20"/>
          <w:szCs w:val="20"/>
          <w:color w:val="auto"/>
        </w:rPr>
      </w:pPr>
    </w:p>
    <w:p>
      <w:pPr>
        <w:ind w:right="20" w:firstLine="1952"/>
        <w:spacing w:after="0" w:line="283" w:lineRule="auto"/>
        <w:tabs>
          <w:tab w:leader="none" w:pos="2581"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subject to an order of a federal or state regulatory agency or a court of competent jurisdiction requiring the termination of Executive’s employment with the Bank, unless Executive has appealed such order and such appeal is pending;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9" w:right="339" w:bottom="1440" w:gutter="0" w:footer="0" w:header="0"/>
        </w:sectPr>
      </w:pPr>
    </w:p>
    <w:bookmarkStart w:id="95" w:name="page96"/>
    <w:bookmarkEnd w:id="95"/>
    <w:p>
      <w:pPr>
        <w:ind w:firstLine="1952"/>
        <w:spacing w:after="0" w:line="283" w:lineRule="auto"/>
        <w:tabs>
          <w:tab w:leader="none" w:pos="258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abuse of alcohol or any controlled substance in a manner that materially negatively affects Executive’s performance or abilities at the Bank, whether or not such activity constitutes a crime; or</w:t>
      </w:r>
    </w:p>
    <w:p>
      <w:pPr>
        <w:spacing w:after="0" w:line="14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prohibition from employment with an FDIC-insured institution under applicable federal law.</w:t>
      </w:r>
    </w:p>
    <w:p>
      <w:pPr>
        <w:spacing w:after="0" w:line="225" w:lineRule="exact"/>
        <w:rPr>
          <w:sz w:val="20"/>
          <w:szCs w:val="20"/>
          <w:color w:val="auto"/>
        </w:rPr>
      </w:pPr>
    </w:p>
    <w:p>
      <w:pPr>
        <w:ind w:right="2700" w:firstLine="1304"/>
        <w:spacing w:after="0" w:line="273" w:lineRule="auto"/>
        <w:tabs>
          <w:tab w:leader="none" w:pos="194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Date” </w:t>
      </w:r>
      <w:r>
        <w:rPr>
          <w:rFonts w:ascii="Times New Roman" w:cs="Times New Roman" w:eastAsia="Times New Roman" w:hAnsi="Times New Roman"/>
          <w:sz w:val="20"/>
          <w:szCs w:val="20"/>
          <w:color w:val="auto"/>
        </w:rPr>
        <w:t>shall mean the date on which Executive’s service to the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terminates.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PERIOD</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b w:val="1"/>
          <w:bCs w:val="1"/>
          <w:u w:val="single" w:color="auto"/>
          <w:color w:val="auto"/>
        </w:rPr>
        <w:t>Term of Agreement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effectiveness of this Agreement is conditional upon consummation of the Merger and subject to Executive’s continued employment with Summit until such time. In the event that the Merger Agreement is terminated pursuant to its terms, this Agreement will expire and shall have no further force and effect. Effective upon consummation of the Merger (the “Effective Date”), Executive shall be employed as Executive Vice President, Financial Strategy of the Bank and the Company, under the terms and conditions of this Agreement. The term of this Agreement (the “Term”) shall commence on the Effective Date and will continue thereafter for a period of three (3) years. Commencing on the third anniversary of the Effective Date, and on each anniversary date thereafter, the term of the Agreement will extend for a period of one year, with each additional year a “Renewal Term,” unless (a) the Bank provides Executive written notice of non-renewal (“Non-Renewal Notice”) at least ninety (90) days prior to an anniversary date, or (b) the Agreement is terminated pursuant to the termination provisions contained in ARTICLE 8 below. If a Non-Renewal Notice is timely delivered to Executive, this Agreement shall terminate at the end of the then-current Term or Renewal Term.</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b w:val="1"/>
          <w:bCs w:val="1"/>
          <w:u w:val="single" w:color="auto"/>
          <w:color w:val="auto"/>
        </w:rPr>
        <w:t>Annual Performance Evaluation</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On a calendar year basis, the Bank shall conduct an annual performance evaluation of Executive, no later than ninety (90) days following each calendar year end, the results of which will be communicated to Executive.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b w:val="1"/>
          <w:bCs w:val="1"/>
          <w:u w:val="single" w:color="auto"/>
          <w:color w:val="auto"/>
        </w:rPr>
        <w:t>Continued Employment Following Termination of Employment Period</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Nothing in this Agreement shall mandate or prohibit a continuation of Executive’s employment following the expiration of the Employment Period.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POSITION AND DUTIES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b w:val="1"/>
          <w:bCs w:val="1"/>
          <w:u w:val="single" w:color="auto"/>
          <w:color w:val="auto"/>
        </w:rPr>
        <w:t>Title; Responsibility</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Executive shall serve as Executive Vice President, Financial Strategy of the Bank and the Company and shall perform such administrative and management services as customarily performed by persons in similar executive capacities and as may be reasonably assigned from time to time by the Chief</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9" w:right="339" w:bottom="1440" w:gutter="0" w:footer="0" w:header="0"/>
        </w:sectPr>
      </w:pPr>
    </w:p>
    <w:bookmarkStart w:id="96" w:name="page97"/>
    <w:bookmarkEnd w:id="96"/>
    <w:p>
      <w:pPr>
        <w:jc w:val="both"/>
        <w:spacing w:after="0" w:line="258" w:lineRule="auto"/>
        <w:rPr>
          <w:sz w:val="20"/>
          <w:szCs w:val="20"/>
          <w:color w:val="auto"/>
        </w:rPr>
      </w:pPr>
      <w:r>
        <w:rPr>
          <w:rFonts w:ascii="Times New Roman" w:cs="Times New Roman" w:eastAsia="Times New Roman" w:hAnsi="Times New Roman"/>
          <w:sz w:val="20"/>
          <w:szCs w:val="20"/>
          <w:color w:val="auto"/>
        </w:rPr>
        <w:t>Executive Officer or the Boards of Directors of the Bank and the Company, as applicable. Executive will report directly to the Chief Executive Officer of the Bank and the Company. During the Employment Period, Executive also agrees to serve, if elected, as an officer, director or trustee of any affiliate of the Bank and the Company and in such capacity to carry out the duties and responsibilities reasonably appropriate to any such position.</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b w:val="1"/>
          <w:bCs w:val="1"/>
          <w:u w:val="single" w:color="auto"/>
          <w:color w:val="auto"/>
        </w:rPr>
        <w:t>Time Commitment</w:t>
      </w:r>
    </w:p>
    <w:p>
      <w:pPr>
        <w:spacing w:after="0" w:line="2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Subject to Section 6.1, Executive shall devote his full business time and attention to the business and affairs of the Bank and the Company and shall use his best efforts to advance the interests of the Bank and the Company.</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b w:val="1"/>
          <w:bCs w:val="1"/>
          <w:u w:val="single" w:color="auto"/>
          <w:color w:val="auto"/>
        </w:rPr>
        <w:t>Company Policies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Executive shall comply with and agrees to be bound by the policies of the Bank Entities as in effect from time to time, including (without limitation) policies regarding ethics, personal conduct, stock ownership, securities trading, clawback and hedging and pledging of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COMPENSATION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b w:val="1"/>
          <w:bCs w:val="1"/>
          <w:u w:val="single" w:color="auto"/>
          <w:color w:val="auto"/>
        </w:rPr>
        <w:t>Annual Salary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In consideration for the services performed by Executive under this Agreement, the Bank shall pay to Executive an annual salary (“Base Salary”) of $350,000. The Base Salary will be paid by the Bank in approximately equal installments in accordance with the Bank’s customary payroll practices. The Bank will review Executive’s Base Salary at least annually and the Base Salary may be increased but may not be decreased (other than as part of an across the board program affecting all executives) without Executive’s consent (any increase in Base Salary will become the new “Base Salary” for purposes of this Agreement).</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b w:val="1"/>
          <w:bCs w:val="1"/>
          <w:u w:val="single" w:color="auto"/>
          <w:color w:val="auto"/>
        </w:rPr>
        <w:t>Incentive Compensation</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Executive shall be entitled to participate at a level determined by the Company Board (or a committee thereof) in any annual incentive compensation or bonus plan as may be available from time to time to executive officers of the Bank, which participation shall be in accordance with the terms of such plans. Payment to Executive for any calendar year of incentive compensation or a bonus under such plans, if any, shall not be construed as an increase in Executive’s Base Salary. Each annual cash bonus, if any, will be paid to Executive as a single lump sum cash payment (less required withholding) as soon as practicable after the last day of the applicable bonus period, but in no event later than March 15th of the calendar year following the year in which the last day of the performance period occurs.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b w:val="1"/>
          <w:bCs w:val="1"/>
          <w:u w:val="single" w:color="auto"/>
          <w:color w:val="auto"/>
        </w:rPr>
        <w:t>Equity Compensation</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Executive shall be entitled to participate in any equity or equity-based compensation plans that may be adopted by the Bank or the Company and, as necessary, approved by the Company’s stockholders, from time to time, under which awards may be granted to senior officers or employees of the Bank or the Company, which participation shall be in accordance with the terms and provisions of such plans and at a level determined by the Company Board or a committee thereof.</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b w:val="1"/>
          <w:bCs w:val="1"/>
          <w:u w:val="single" w:color="auto"/>
          <w:color w:val="auto"/>
        </w:rPr>
        <w:t>Additional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9" w:right="339" w:bottom="1440" w:gutter="0" w:footer="0" w:header="0"/>
        </w:sectPr>
      </w:pPr>
    </w:p>
    <w:bookmarkStart w:id="97" w:name="page98"/>
    <w:bookmarkEnd w:id="97"/>
    <w:p>
      <w:pPr>
        <w:ind w:firstLine="1304"/>
        <w:spacing w:after="0" w:line="283" w:lineRule="auto"/>
        <w:tabs>
          <w:tab w:leader="none" w:pos="193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first regularly scheduled payroll date that occurs at least five (5) days after the Effective Date, the Bank will make a one-time special bonus payment to Executive of $632,626.</w:t>
      </w:r>
    </w:p>
    <w:p>
      <w:pPr>
        <w:spacing w:after="0" w:line="146"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first regularly scheduled payroll date that occurs at least five (5) days after any Separation from Service (within the meaning of Section 409A of the Code), but subject to any payment delay required by Section 8.8(b) of this Agreement, the Bank will pay to Executive $379,575.</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4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17 (“Additional Payment by Summit”) of that certain Amended and Restated Employment Agreement between Summit Financial Group, Inc. and Robert S. Tissue, made and entered into on December 24, 2008 and as amended from time to time (the “Summit Employment Agreement”) is hereby incorporated by reference as though fully set forth herein, provided that it shall survive only with respect to the Merger and will not cover (or otherwise take into account) any amounts payable under Sections 8.3(b) or 8.5 of this Agreement. For the avoidance of doubt, Executive shall not be entitled to any excise tax gross-up payment with respect to any future change in control of any of the Bank Entities.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 BENEFITS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b w:val="1"/>
          <w:bCs w:val="1"/>
          <w:u w:val="single" w:color="auto"/>
          <w:color w:val="auto"/>
        </w:rPr>
        <w:t>Benefit Plans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During the Employment Period, Executive will be an employee of the Bank and will be entitled to participate in benefit plans sponsored and maintained by the Bank and generally made available to employees and/or executives; provided, however, such participation shall be in accordance with the terms of the benefit plans and programs and, for purposes of this Section 5.1</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Bank may amend, terminate, modify or reduce benefits provided under such benefit plans and programs provided the changes apply to all similarly-situated participants on an equivalent basis.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u w:val="single" w:color="auto"/>
          <w:color w:val="auto"/>
        </w:rPr>
        <w:t>Paid Time Off</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Executive shall be entitled to not less than 30 days of paid time off (“PTO”) each year during the Employment Period (inclusive of vacation time, sick leave and other personal leave), as well as holidays and certain other paid absences, in accordance with the Bank’s policies and procedures for executive employees, including any transitional policies applicable to former Summit employees. All unused accrued PTO will be payable to Executive upon termination of employment.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u w:val="single" w:color="auto"/>
          <w:color w:val="auto"/>
        </w:rPr>
        <w:t>Company Car</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Executive shall be provided use of a company-owned automobile or, at the Company’s election, paid a periodic automobile allowance.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OUTSIDE ACTIVITIES AND BOARD MEMBERSHIPS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b w:val="1"/>
          <w:bCs w:val="1"/>
          <w:u w:val="single" w:color="auto"/>
          <w:color w:val="auto"/>
        </w:rPr>
        <w:t>Restrictions on Outside Activities and Board Memberships During Employment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During the Employment Period, Executive shall not take any action to compete with the Bank Entities, and shall not: (i) directly or indirectly, provide services on behalf of any financial institution, any insurance company or agency, any mortgage or loan broker or any other entity or on behalf of any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9" w:right="339" w:bottom="1440" w:gutter="0" w:footer="0" w:header="0"/>
        </w:sectPr>
      </w:pPr>
    </w:p>
    <w:bookmarkStart w:id="98" w:name="page99"/>
    <w:bookmarkEnd w:id="98"/>
    <w:p>
      <w:pPr>
        <w:jc w:val="both"/>
        <w:spacing w:after="0" w:line="249" w:lineRule="auto"/>
        <w:rPr>
          <w:sz w:val="20"/>
          <w:szCs w:val="20"/>
          <w:color w:val="auto"/>
        </w:rPr>
      </w:pPr>
      <w:r>
        <w:rPr>
          <w:rFonts w:ascii="Times New Roman" w:cs="Times New Roman" w:eastAsia="Times New Roman" w:hAnsi="Times New Roman"/>
          <w:sz w:val="20"/>
          <w:szCs w:val="20"/>
          <w:color w:val="auto"/>
        </w:rPr>
        <w:t>subsidiary or affiliate of any such entity engaged in the financial services industry, as an employee, consultant, independent contractor, agent, sole proprietor, partner, joint venturer, corporate officer or director; nor shall Executive acquire by reason of purchase during the Employment Period the ownership of more than 1% of the outstanding equity interest in any such entity; (ii) solicit, divert from the Bank Entities, or transact business with any customer of the Bank Entities, for the purpose of providing products or services that are the same as or substantially similar to, and competitive with, those provided by the Bank Entities; (iii) hire, assist others in hiring, or solicit for hire any employee of any of the Bank Entities, or encourage any such employee to terminate employment with any of the Bank Entities; or (iv) induce or attempt to induce any supplier, contractor, agent, representative or any other individual or entity that has a business relationship with any of the Bank Entities to discontinue, terminate, or reduce, the extent of such relationship with any Bank Entity, or to take any action that would disrupt or otherwise damage such relationship. Subject to the foregoing, and to Executive’s right to continue to serve as a director or trustee of any business organization or entity as to which he was so serving on the Signing Date (as disclosed in writing to the Company Board), Executive may serve on boards of directors of unaffiliated, for-profit or not-for-profit entities, subject to prior approval of the Company Board. Except as specifically set forth herein, Executive may engage in personal business and investment activities, including real estate investments and personal investments in the stocks, securities and obligations of other financial institutions (or their holding companies). Notwithstanding the foregoing, in no event shall Executive’s outside activities, services, personal business and investments materially interfere with the performance of his duties under this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WORKING FACILITIES AND EXPENSES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b w:val="1"/>
          <w:bCs w:val="1"/>
          <w:u w:val="single" w:color="auto"/>
          <w:color w:val="auto"/>
        </w:rPr>
        <w:t>Working Facilities</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Executive’s principal place of employment shall be, at his choice, either (a) 300 North Main Street, Moorefield, West Virginia, 26836, or (b) the Company’s headquarters.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u w:val="single" w:color="auto"/>
          <w:color w:val="auto"/>
        </w:rPr>
        <w:t>Expenses</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Bank shall reimburse Executive for his ordinary and necessary business expenses, incurred in connection with the performance of his duties under this Agreement, upon presentation to the Bank of an itemized account of such expenses in such form as the Bank may reasonably require. Any such expense shall be reimbursed as soon as practicable and no later than two and one-half months following the end of the year in which the expense was incurred, and the amount of expenses eligible for reimbursement (and in-kind benefits provided to Executive) during any one year may not affect amounts reimbursable or provided in any subsequent year.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TERMINATION OF EMPLOYMENT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Executive’s employment pursuant to this Agreement terminates before the end of the Term or a Renewal Term, then the rights and obligations of the Parties shall be determined hereunder. If Executive’s employment pursuant to this Agreement terminates at the end of the Term or a Renewal Term and the Bank has provided Executive a Non-Renewal Notice at least ninety (90) days prior to the expiration of the then-current Term or Renewal Term, as the case may be, the sole amounts payable under this ARTICLE 8 shall be those Accrued Obligations (as defined in Section 8.1) and any Other Benefits (as defined in Section 8.7) to which he may be entitled.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99" w:right="339" w:bottom="1440" w:gutter="0" w:footer="0" w:header="0"/>
        </w:sectPr>
      </w:pPr>
    </w:p>
    <w:bookmarkStart w:id="99" w:name="page100"/>
    <w:bookmarkEnd w:id="99"/>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b w:val="1"/>
          <w:bCs w:val="1"/>
          <w:u w:val="single" w:color="auto"/>
          <w:color w:val="auto"/>
        </w:rPr>
        <w:t>All Terminations</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In the event Executive’s employment with the Bank terminates during the Employment Period for any reason and regardless as to whether or not Executive executes the Release as provided for in Section 8.9, the Bank shall pay Executive the sum of Executive’s (a) earned but unpaid Base Salary within 65 days of the Termination Date or such sooner date as required by law, (b) any bonus earned for the prior calendar year under the Bank’s Executive Variable Compensation Plan (or similar arrangement) that has not been paid as of the Termination Date no later than March 15th of the year in which the Termination Date occurs, (c) business expenses that have not been reimbursed by the Bank within 65 days of the Termination Date or such sooner date as required by law, (d) any accrued and unpaid PTO if such amounts have not been paid as of the Termination Date, within 65 days of the Termination Date or such sooner date as required by law, and (e) the payment described in Section 4.4(b) above, at the time therein specified (collectively, the “Accrued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notwithstanding the foregoing, if Executive has made an irrevocable election under any deferred compensation arrangement subject to Section 409A of the Code to defer any portion of his compensation described in this clause, then for purposes of this Section 8.1, such election shall remain effective and such portion shall not be considered as part of the “Accrued Obligations” but shall instead be an “Other Benefit” (as defined below).</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b w:val="1"/>
          <w:bCs w:val="1"/>
          <w:u w:val="single" w:color="auto"/>
          <w:color w:val="auto"/>
        </w:rPr>
        <w:t>Termination for Just Cause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Board may immediately terminate Executive’s employment at any time for Just Cause. Executive shall not have the right to receive compensation or other benefits for any period after the Termination Date for Just Cause. For purposes of this section, no act, or failure to act, on Executive’s part shall be considered “willful” unless he has acted, or failed to act, with an absence of good faith and without a reasonable belief that his action or failure to act was in the best interests of the Bank.</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b w:val="1"/>
          <w:bCs w:val="1"/>
          <w:u w:val="single" w:color="auto"/>
          <w:color w:val="auto"/>
        </w:rPr>
        <w:t>Termination for Good Reason or Termination Without Just Cause</w:t>
      </w:r>
    </w:p>
    <w:p>
      <w:pPr>
        <w:spacing w:after="0" w:line="233" w:lineRule="exact"/>
        <w:rPr>
          <w:sz w:val="20"/>
          <w:szCs w:val="20"/>
          <w:color w:val="auto"/>
        </w:rPr>
      </w:pPr>
    </w:p>
    <w:p>
      <w:pPr>
        <w:jc w:val="both"/>
        <w:ind w:firstLine="1304"/>
        <w:spacing w:after="0" w:line="250" w:lineRule="auto"/>
        <w:tabs>
          <w:tab w:leader="none" w:pos="193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Good Reason or Termination Without Just Cause</w:t>
      </w:r>
      <w:r>
        <w:rPr>
          <w:rFonts w:ascii="Times New Roman" w:cs="Times New Roman" w:eastAsia="Times New Roman" w:hAnsi="Times New Roman"/>
          <w:sz w:val="20"/>
          <w:szCs w:val="20"/>
          <w:color w:val="auto"/>
        </w:rPr>
        <w:t>. Executive may voluntarily resign from employment with the Bank for Good Reason during the Employment Period, but only if Executive has, within ninety (90) days after the first incidence of the particular event, given the Bank written notice detailing the event alleged to constitute Good Reason and the Bank has not cured the event within thirty (30) days after receiving such notice from Executive (but the Bank may elect to waive such thirty (30) day period), and Executive has resigned within thirty (30) days thereafter. The Bank may terminate Executive’s employment without Just Cause, provided that such termination of employment constitutes a “Separation from Service” within the meaning of Section 409A of the Code (“Section 409A”) and the Treasury regulations promulgated thereunder. In the event Executive terminates employment with Good Reason or the Bank terminates Executive’s employment without Just Cause, Executive will be entitled to the severance benefits set forth in Section 8.3(b); provided, however, that if the termination of employment occurs within two years after a Change in Control, the severance benefits will be determined as set forth in Section 8.5.</w:t>
      </w:r>
    </w:p>
    <w:p>
      <w:pPr>
        <w:spacing w:after="0" w:line="196"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w:t>
      </w:r>
      <w:r>
        <w:rPr>
          <w:rFonts w:ascii="Times New Roman" w:cs="Times New Roman" w:eastAsia="Times New Roman" w:hAnsi="Times New Roman"/>
          <w:sz w:val="20"/>
          <w:szCs w:val="20"/>
          <w:color w:val="auto"/>
        </w:rPr>
        <w:t>. Upon Executive’s termination of employment in accordance with Section 8.3(a), the Bank shall pay to Executive (or, in the event of Executive’s death after the termination of employment has occurred in accordance with Section 8.3(a), the Bank shall pay to Executive’s surviving spouse, beneficiary or estate) an amount equal to the following, subject to the Release Requirement (as defined below):</w:t>
      </w:r>
    </w:p>
    <w:p>
      <w:pPr>
        <w:spacing w:after="0" w:line="187"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Accrued Obligations as set forth in Section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5" w:right="339" w:bottom="1440" w:gutter="0" w:footer="0" w:header="0"/>
        </w:sectPr>
      </w:pPr>
    </w:p>
    <w:bookmarkStart w:id="100" w:name="page101"/>
    <w:bookmarkEnd w:id="100"/>
    <w:p>
      <w:pPr>
        <w:ind w:firstLine="1952"/>
        <w:spacing w:after="0" w:line="310" w:lineRule="auto"/>
        <w:tabs>
          <w:tab w:leader="none" w:pos="2591"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equal to the product of (A) two and (B) the sum of (I) Executive’s Base Salary at the Termination Date and (II) a cash bonus equal to 40% multiplied by Executive’s Base Salary at the Termination Date (the “Target Cash Bonus”); and</w:t>
      </w:r>
    </w:p>
    <w:p>
      <w:pPr>
        <w:spacing w:after="0" w:line="124" w:lineRule="exact"/>
        <w:rPr>
          <w:rFonts w:ascii="Times New Roman" w:cs="Times New Roman" w:eastAsia="Times New Roman" w:hAnsi="Times New Roman"/>
          <w:sz w:val="19"/>
          <w:szCs w:val="19"/>
          <w:color w:val="auto"/>
        </w:rPr>
      </w:pPr>
    </w:p>
    <w:p>
      <w:pPr>
        <w:ind w:firstLine="1952"/>
        <w:spacing w:after="0" w:line="283" w:lineRule="auto"/>
        <w:tabs>
          <w:tab w:leader="none" w:pos="259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product of (A) 100% of Executive’s full total monthly premium (i.e. Executive’s portion and the Bank’s portion) for Executive’s Healthcare Coverage, times (B) 12.</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b w:val="1"/>
          <w:bCs w:val="1"/>
          <w:u w:val="single" w:color="auto"/>
          <w:color w:val="auto"/>
        </w:rPr>
        <w:t>Voluntary Resignation Without Good Reason</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Executive may voluntarily resign without Good Reason after giving sixty (60) days’ prior written notice to the Bank provided, however, that the Bank may accelerate the Termination Date upon receipt of written notice of the Executive’s resignation. If Executive terminates his employment without Good Reason, Executive will be entitled to no other payment or compensation of any kind except for the Accrued Obligations as set forth in Section 8.1 and any Other Benefits (as defined in Section 8.7) to which he may be entitled.</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9"/>
          <w:szCs w:val="19"/>
          <w:b w:val="1"/>
          <w:bCs w:val="1"/>
          <w:u w:val="single" w:color="auto"/>
          <w:color w:val="auto"/>
        </w:rPr>
        <w:t>Termination Due to a Change in Control</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within the period ending two years after a Change in Control (a) the Bank terminates Executive’s employment without Just Cause, or (b) Executive voluntarily terminates his employment for Good Reason, the Bank shall pay Executive an amount equal to the following, subject to the Release Requirement:</w:t>
      </w:r>
    </w:p>
    <w:p>
      <w:pPr>
        <w:spacing w:after="0" w:line="181" w:lineRule="exact"/>
        <w:rPr>
          <w:sz w:val="20"/>
          <w:szCs w:val="20"/>
          <w:color w:val="auto"/>
        </w:rPr>
      </w:pPr>
    </w:p>
    <w:p>
      <w:pPr>
        <w:ind w:left="1940" w:hanging="636"/>
        <w:spacing w:after="0"/>
        <w:tabs>
          <w:tab w:leader="none" w:pos="19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Accrued Obligations as set forth in Section 8.1; and</w:t>
      </w:r>
    </w:p>
    <w:p>
      <w:pPr>
        <w:spacing w:after="0" w:line="215"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equal to the product of (A) 2.99 and (B) the sum of (I) Executive’s Base Salary at the Termination Date and (II) the Targeted Cash Bonus; and</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product of (A) 100% of Executive’s full total monthly premium (i.e. Executive’s portion and the Bank’s portion) for Executive’s Healthcare Coverage, times (B) 18.</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b w:val="1"/>
          <w:bCs w:val="1"/>
          <w:u w:val="single" w:color="auto"/>
          <w:color w:val="auto"/>
        </w:rPr>
        <w:t>Termination due to Death or Disability</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the case of a termination of Executive’s employment due to death or Disability, Executive shall be entitled to the following from the Bank:</w:t>
      </w:r>
    </w:p>
    <w:p>
      <w:pPr>
        <w:spacing w:after="0" w:line="160"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benefits under any applicable short-term and/or long-term disability insurance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229" w:lineRule="exact"/>
        <w:rPr>
          <w:sz w:val="20"/>
          <w:szCs w:val="20"/>
          <w:color w:val="auto"/>
        </w:rPr>
      </w:pPr>
    </w:p>
    <w:p>
      <w:pPr>
        <w:ind w:left="1940" w:hanging="636"/>
        <w:spacing w:after="0"/>
        <w:tabs>
          <w:tab w:leader="none" w:pos="19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Accrued Obligations as set forth in Section 8.1, and</w:t>
      </w:r>
    </w:p>
    <w:p>
      <w:pPr>
        <w:spacing w:after="0" w:line="215" w:lineRule="exact"/>
        <w:rPr>
          <w:rFonts w:ascii="Times New Roman" w:cs="Times New Roman" w:eastAsia="Times New Roman" w:hAnsi="Times New Roman"/>
          <w:sz w:val="20"/>
          <w:szCs w:val="20"/>
          <w:color w:val="auto"/>
        </w:rPr>
      </w:pPr>
    </w:p>
    <w:p>
      <w:pPr>
        <w:ind w:right="20" w:firstLine="1304"/>
        <w:spacing w:after="0" w:line="283" w:lineRule="auto"/>
        <w:tabs>
          <w:tab w:leader="none" w:pos="19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product of (i) the Target Cash Bonus, and (ii) a fraction, with the numerator equal to the number of days in the then current calendar year through the Termination Date and the denominator equal to 365.</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b w:val="1"/>
          <w:bCs w:val="1"/>
          <w:u w:val="single" w:color="auto"/>
          <w:color w:val="auto"/>
        </w:rPr>
        <w:t>Other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99" w:right="339" w:bottom="1440" w:gutter="0" w:footer="0" w:header="0"/>
        </w:sectPr>
      </w:pPr>
    </w:p>
    <w:bookmarkStart w:id="101" w:name="page102"/>
    <w:bookmarkEnd w:id="101"/>
    <w:p>
      <w:pPr>
        <w:jc w:val="both"/>
        <w:ind w:firstLine="1304"/>
        <w:spacing w:after="0" w:line="253" w:lineRule="auto"/>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receives payments and benefits pursuant to ARTICLE 8 of this Agreement, Executive shall not be entitled to any duplicative severance pay or duplicative benefits under any severance plan, program or policy of the Bank, unless otherwise specifically provided therein in a specific reference to this Agreement. To the extent not theretofore paid or provided, the Bank shall timely pay or provide to Executive any other amounts or benefits required to be paid or provided or that Executive is eligible to receive under any plan, program, policy, contract or agreement of the Bank (such other amounts and benefits shall be hereinafter referred to as the “Other Benefits”) in accordance with the terms of the underlying plans or agreements.</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Executive’s employment terminates pursuant to Sections 8.3, 8.5 or 8.6, and unless otherwise provided in the applicable award agreement, subject to the Release Requirement, (i) any unvested restricted stock (or similar) awards subject to time-based vesting shall become fully and immediately vested, and to the extent that the award is exempt from Section 409A, shall then be paid, and (ii) any unvested performance stock (or similar) awards shall become fully and immediately vested based on actual performance as of the Termination Date, and if actual performance is not determinable, at target, and to the extent that the award is exempt from Section 409A, shall then be paid.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b w:val="1"/>
          <w:bCs w:val="1"/>
          <w:u w:val="single" w:color="auto"/>
          <w:color w:val="auto"/>
        </w:rPr>
        <w:t>Timing of Severance Payments</w:t>
      </w:r>
    </w:p>
    <w:p>
      <w:pPr>
        <w:spacing w:after="0" w:line="233" w:lineRule="exact"/>
        <w:rPr>
          <w:sz w:val="20"/>
          <w:szCs w:val="20"/>
          <w:color w:val="auto"/>
        </w:rPr>
      </w:pPr>
    </w:p>
    <w:p>
      <w:pPr>
        <w:jc w:val="both"/>
        <w:ind w:firstLine="1304"/>
        <w:spacing w:after="0" w:line="254" w:lineRule="auto"/>
        <w:tabs>
          <w:tab w:leader="none" w:pos="193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Accrued Obligations shall be paid in the time period set forth in Section 8.1 above, and the Other Benefits shall be paid in accordance with their terms. Any other cash payments pursuant to this ARTICLE 8 shall be made in a lump sum within sixty-five</w:t>
      </w:r>
    </w:p>
    <w:p>
      <w:pPr>
        <w:spacing w:after="0" w:line="1" w:lineRule="exact"/>
        <w:rPr>
          <w:rFonts w:ascii="Times New Roman" w:cs="Times New Roman" w:eastAsia="Times New Roman" w:hAnsi="Times New Roman"/>
          <w:sz w:val="20"/>
          <w:szCs w:val="20"/>
          <w:color w:val="auto"/>
        </w:rPr>
      </w:pPr>
    </w:p>
    <w:p>
      <w:pPr>
        <w:ind w:firstLine="8"/>
        <w:spacing w:after="0" w:line="267" w:lineRule="auto"/>
        <w:tabs>
          <w:tab w:leader="none" w:pos="40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following the Termination Date less applicable withholding taxes. Such payments shall not be reduced in the event Executive obtains other employment following termination of employment with the Bank or following a Change in Control.</w:t>
      </w:r>
    </w:p>
    <w:p>
      <w:pPr>
        <w:spacing w:after="0" w:line="161"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if Executive is a Specified Employee, as defined in Code Section 409A, and if any payment to be made under ARTICLE 8 or any other arrangement between Executive and the Bank Entities shall be determined to be subject to Code Section 409A, then to the extent required by Code Section 409A to avoid accelerated taxation and/or tax penalties thereunder, such payment shall be delayed and shall be paid on the first day of the seventh month following Executive’s Separation from Service (within the meaning of Section 409A), or if earlier upon Executive’s death.</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8.9</w:t>
      </w:r>
      <w:r>
        <w:rPr>
          <w:sz w:val="20"/>
          <w:szCs w:val="20"/>
          <w:color w:val="auto"/>
        </w:rPr>
        <w:tab/>
      </w:r>
      <w:r>
        <w:rPr>
          <w:rFonts w:ascii="Times New Roman" w:cs="Times New Roman" w:eastAsia="Times New Roman" w:hAnsi="Times New Roman"/>
          <w:sz w:val="19"/>
          <w:szCs w:val="19"/>
          <w:b w:val="1"/>
          <w:bCs w:val="1"/>
          <w:u w:val="single" w:color="auto"/>
          <w:color w:val="auto"/>
        </w:rPr>
        <w:t>Release Agreement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Notwithstanding anything in this Agreement to the contrary, Executive will not receive any payments or benefits under this ARTICLE 8, other than those set forth in Section 8.6 and the Accrued Obligations and Other Benefits, unless and until Executive executes a general release of claims in a form prescribed by the Bank (the “Release”) against the Bank Entities and any affiliate, and their officers, directors, successors and assigns, releasing said persons from any and all claims, rights, demands, causes of action, suits, arbitrations or grievances, including but not limited to those relating to the employment relationship, including claims under the Age Discrimination in Employment Act, but not including claims for benefits under tax-qualified plans or other benefit plans in which Executive is vested, claims which may not be released by applicable law or claims with respect to obligations set forth in this Agreement that survive the termination of this Agreement. The Release must be executed and become irrevocable by the 60th day following the Termination Date (the “Release Requirement”), provided that if the 60-day period spans two (2) calendar years, then, to the extent necessary to comply with Code Section 409A, the payments will be paid, or commence, in the second calendar year.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99" w:right="339" w:bottom="1440" w:gutter="0" w:footer="0" w:header="0"/>
        </w:sectPr>
      </w:pPr>
    </w:p>
    <w:bookmarkStart w:id="102" w:name="page103"/>
    <w:bookmarkEnd w:id="102"/>
    <w:p>
      <w:pPr>
        <w:ind w:left="4040"/>
        <w:spacing w:after="0"/>
        <w:rPr>
          <w:sz w:val="20"/>
          <w:szCs w:val="20"/>
          <w:color w:val="auto"/>
        </w:rPr>
      </w:pPr>
      <w:r>
        <w:rPr>
          <w:rFonts w:ascii="Times New Roman" w:cs="Times New Roman" w:eastAsia="Times New Roman" w:hAnsi="Times New Roman"/>
          <w:sz w:val="20"/>
          <w:szCs w:val="20"/>
          <w:b w:val="1"/>
          <w:bCs w:val="1"/>
          <w:color w:val="auto"/>
        </w:rPr>
        <w:t>COVENANTS AND OBLIGATIONS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b w:val="1"/>
          <w:bCs w:val="1"/>
          <w:u w:val="single" w:color="auto"/>
          <w:color w:val="auto"/>
        </w:rPr>
        <w:t>Restrictive Covenant Agreement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In consideration of the payments and benefits provided hereunder, and as inducement for the Bank to enter into this Agreement, Executive must execute the Non-Disclosure and Restrictive Covenant Agreement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(the “Restrictive Covenant Agreement”) and comply therewith.</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b w:val="1"/>
          <w:bCs w:val="1"/>
          <w:u w:val="single" w:color="auto"/>
          <w:color w:val="auto"/>
        </w:rPr>
        <w:t>Cooperation</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Executive shall, upon reasonable notice, furnish such information and assistance to the Bank, as may reasonably be required by the Bank, in connection with any litigation in which it or any of its subsidiaries or affiliates is, or may become, a party; provided, however, that Executive shall not be required to provide information or assistance with respect to any litigation between Executive and the Bank or any of its subsidiaries or affiliates. Any assistance under this Section 9.2 shall not unreasonably interfere with Executive’s personal or business affairs. The Bank shall reimburse Executive for all reasonable out-of-pocket expenses incurred by Executive in fulfilling the obligations of this Section 9.2. To the extent Executive’s cooperation is requested at any point following the Employment Period, the Bank will pay Executive a reasonable hourly or per diem fee (calculated based on Executive’s most recent Base Salary under this Agreement) for Executive’s services that exceed either two (2) hours in a calendar month or five (5) hours in a calendar year.</w:t>
      </w:r>
    </w:p>
    <w:p>
      <w:pPr>
        <w:spacing w:after="0" w:line="178" w:lineRule="exact"/>
        <w:rPr>
          <w:sz w:val="20"/>
          <w:szCs w:val="20"/>
          <w:color w:val="auto"/>
        </w:rPr>
      </w:pPr>
    </w:p>
    <w:p>
      <w:pPr>
        <w:jc w:val="right"/>
        <w:ind w:right="5060"/>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32"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1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b w:val="1"/>
          <w:bCs w:val="1"/>
          <w:u w:val="single" w:color="auto"/>
          <w:color w:val="auto"/>
        </w:rPr>
        <w:t>Regulatory Requirements</w:t>
      </w:r>
    </w:p>
    <w:p>
      <w:pPr>
        <w:spacing w:after="0" w:line="220" w:lineRule="exact"/>
        <w:rPr>
          <w:sz w:val="20"/>
          <w:szCs w:val="20"/>
          <w:color w:val="auto"/>
        </w:rPr>
      </w:pPr>
    </w:p>
    <w:p>
      <w:pPr>
        <w:jc w:val="both"/>
        <w:ind w:firstLine="1304"/>
        <w:spacing w:after="0" w:line="261" w:lineRule="auto"/>
        <w:tabs>
          <w:tab w:leader="none" w:pos="193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contained to the contrary, any payments or other provision of benefits to Executive by the Bank, whether pursuant to this Agreement or otherwise, are subject to and conditioned upon their compliance with Section 18(k) of the Federal Deposit Insurance Act, 12 U.S.C. Section 1828(k), and the regulations promulgated thereunder in 12 C.F.R. Part 359.</w:t>
      </w:r>
    </w:p>
    <w:p>
      <w:pPr>
        <w:spacing w:after="0" w:line="181"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in this Agreement, (i) the Bank may terminate or suspend this Agreement and the employment of Executive hereunder, as if such termination were a termination for Just Cause under Section 8.2 hereof, to the extent required by federal or state laws or regulations related to banking, to deposit insurance or bank holding companies or by regulations or orders issued by the Federal Deposit Insurance Corporation or the Virginia Bureau of Financial Institutions and (ii) no payment shall be required to be made to Executive under this Agreement to the extent such payment is prohibited by applicable law regulation or order issued by a banking agency or a court of competent jurisdiction; provided, that it shall be the Bank’s burden to prove that any such action was so required.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b w:val="1"/>
          <w:bCs w:val="1"/>
          <w:u w:val="single" w:color="auto"/>
          <w:color w:val="auto"/>
        </w:rPr>
        <w:t>Arbitration; Legal Fees</w:t>
      </w:r>
    </w:p>
    <w:p>
      <w:pPr>
        <w:spacing w:after="0" w:line="233" w:lineRule="exact"/>
        <w:rPr>
          <w:sz w:val="20"/>
          <w:szCs w:val="20"/>
          <w:color w:val="auto"/>
        </w:rPr>
      </w:pPr>
    </w:p>
    <w:p>
      <w:pPr>
        <w:jc w:val="both"/>
        <w:ind w:firstLine="1304"/>
        <w:spacing w:after="0" w:line="253" w:lineRule="auto"/>
        <w:tabs>
          <w:tab w:leader="none" w:pos="1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dispute should arise between the Parties as to the meaning, effect, performance, enforcement, or other issue in connection with this Agreement, which dispute cannot be resolved by the Parties, the dispute shall be decided by final and binding arbitration of a panel of three arbitrators. Proceedings in arbitration and its conduct shall be governed by the rules of the American Arbitration Association (“AAA”) applicable to commercial arbitrations (the “Rules”) except as modified by this Section. Executive shall appoint one arbitrator, the Bank shall appoint one arbitrator, and the third shall be appointed by the two arbitrators appointed by the Parties. The third arbitrator shall be impartial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95" w:right="339" w:bottom="1440" w:gutter="0" w:footer="0" w:header="0"/>
        </w:sectPr>
      </w:pPr>
    </w:p>
    <w:bookmarkStart w:id="103" w:name="page104"/>
    <w:bookmarkEnd w:id="103"/>
    <w:p>
      <w:pPr>
        <w:jc w:val="both"/>
        <w:spacing w:after="0" w:line="252" w:lineRule="auto"/>
        <w:rPr>
          <w:sz w:val="20"/>
          <w:szCs w:val="20"/>
          <w:color w:val="auto"/>
        </w:rPr>
      </w:pPr>
      <w:r>
        <w:rPr>
          <w:rFonts w:ascii="Times New Roman" w:cs="Times New Roman" w:eastAsia="Times New Roman" w:hAnsi="Times New Roman"/>
          <w:sz w:val="20"/>
          <w:szCs w:val="20"/>
          <w:color w:val="auto"/>
        </w:rPr>
        <w:t>and shall serve as chairman of the panel. The Parties shall appoint their arbitrators within thirty (30) days after the demand for arbitration is served, failing which the AAA promptly shall appoint a defaulting Party’s arbitrator, and the two arbitrators shall select the third arbitrator within fifteen (15) days after their appointment, or if they cannot agree or fail to so appoint, then the AAA promptly shall appoint the third arbitrator. The arbitrators shall render their decision in writing within thirty (30) days after the close of evidence or other termination of the proceedings by the panel, and the decision of a majority of the arbitrators shall be final and binding upon the Parties, nonappealable, except in accordance with the Rules and enforceable in accordance with the applicable state law. Any hearings in the arbitration shall be held in the City of Alexandria, Virginia, unless the Parties agree on a different venue, and shall be private and not open to the public. Each Party shall bear the fees and expenses of its arbitrator, counsel, and witnesses, and the fees and expenses of the third arbitrator shall be shared equally by the Parties. The other costs of the arbitration, including the fees of AAA, shall be borne as directed in the decision of the panel.</w:t>
      </w:r>
    </w:p>
    <w:p>
      <w:pPr>
        <w:spacing w:after="0" w:line="176" w:lineRule="exact"/>
        <w:rPr>
          <w:sz w:val="20"/>
          <w:szCs w:val="20"/>
          <w:color w:val="auto"/>
        </w:rPr>
      </w:pPr>
    </w:p>
    <w:p>
      <w:pPr>
        <w:jc w:val="both"/>
        <w:ind w:firstLine="1369"/>
        <w:spacing w:after="0" w:line="258" w:lineRule="auto"/>
        <w:tabs>
          <w:tab w:leader="none" w:pos="194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Fees and Other Expenses</w:t>
      </w:r>
      <w:r>
        <w:rPr>
          <w:rFonts w:ascii="Times New Roman" w:cs="Times New Roman" w:eastAsia="Times New Roman" w:hAnsi="Times New Roman"/>
          <w:sz w:val="20"/>
          <w:szCs w:val="20"/>
          <w:color w:val="auto"/>
        </w:rPr>
        <w:t>. If Executive is successful on the merits of the dispute, as determined in the arbitration, all legal fees and such other expenses as reasonably incurred by Executive as a result of or in connection with or arising out of the dispute, shall be paid by the Bank, provided that such payment or reimbursement is made by the Bank not later than two and one-half months after the end of the year in which such dispute is resolved in Executive’s favor.</w:t>
      </w:r>
    </w:p>
    <w:p>
      <w:pPr>
        <w:spacing w:after="0" w:line="185" w:lineRule="exact"/>
        <w:rPr>
          <w:rFonts w:ascii="Times New Roman" w:cs="Times New Roman" w:eastAsia="Times New Roman" w:hAnsi="Times New Roman"/>
          <w:sz w:val="20"/>
          <w:szCs w:val="20"/>
          <w:color w:val="auto"/>
        </w:rPr>
      </w:pPr>
    </w:p>
    <w:p>
      <w:pPr>
        <w:ind w:right="20" w:firstLine="1369"/>
        <w:spacing w:after="0" w:line="269" w:lineRule="auto"/>
        <w:tabs>
          <w:tab w:leader="none" w:pos="193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Section 10.2 shall not apply to any dispute arising between the Parties under the Restrictive Covenant Agreement. The dispute resolution provisions governing such agreement are set forth therein.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b w:val="1"/>
          <w:bCs w:val="1"/>
          <w:u w:val="single" w:color="auto"/>
          <w:color w:val="auto"/>
        </w:rPr>
        <w:t>Indemnification and Insurance</w:t>
      </w:r>
    </w:p>
    <w:p>
      <w:pPr>
        <w:spacing w:after="0" w:line="233"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20"/>
          <w:szCs w:val="20"/>
          <w:color w:val="auto"/>
        </w:rPr>
        <w:t>The Bank shall provide Executive (including his heirs, executors and administrators) with coverage under a standard directors’ and officers’ liability insurance policy at its expense, and shall indemnify Executive (and his heirs, executors and administrators) to the fullest extent permitted under applicable law against all expenses and liabilities reasonably incurred by him in connection with or arising out of any action, suit or proceeding in which he may be involved by reason of his having been an officer of the Bank (whether or not he continues to be an officer at the time of incurring such expenses or liabilities), such expenses and liabilities to include, but not be limited to, judgments, court costs and attorneys’ fees and the cost of reasonable settlements (such settlements must be approved by the Company Board); provided, however, that the Bank shall not be required to indemnify or reimburse Executive for legal expenses or liabilities incurred in connection with an action, suit or proceeding arising from any illegal or fraudulent act committed by Executive. Any such indemnification shall be made consistent with Section 18(k) of the Federal Deposit Insurance Act, 12 U.S.C.§1828(k), and the regulations issued thereunder in 12 C.F.R. Part 359.</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b w:val="1"/>
          <w:bCs w:val="1"/>
          <w:u w:val="single" w:color="auto"/>
          <w:color w:val="auto"/>
        </w:rPr>
        <w:t>Notices</w:t>
      </w:r>
    </w:p>
    <w:p>
      <w:pPr>
        <w:spacing w:after="0" w:line="233"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0"/>
          <w:szCs w:val="20"/>
          <w:color w:val="auto"/>
        </w:rPr>
        <w:t>The persons or addresses to which mailings or deliveries shall be made may change from time to time by notice given pursuant to the provisions of this Section 10.4. Any notice or other communication given pursuant to the provisions of this Section 10.4 shall be deemed to have been given (a) if sent by messenger, upon personal delivery to the Party to whom the notice is directed; (b) if sent by reputable overnight courier, one business day after delivery to such courier; (c) if sent by facsimile, upon electronic confirmation of receipt, (d) if sent by email, when transmitted to the appropriate email address, provided that no “error” message or other notification of non-delivery is generated, and (e) if sent by mail, three business days following deposit in the United States mail, properly addressed, postage prepaid, certified 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9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registered mail with return receipt requested. All notices required or permitted to be given hereunder shall be addressed as follows:</w:t>
      </w:r>
    </w:p>
    <w:p>
      <w:pPr>
        <w:spacing w:after="0" w:line="229" w:lineRule="exact"/>
        <w:rPr>
          <w:sz w:val="20"/>
          <w:szCs w:val="20"/>
          <w:color w:val="auto"/>
        </w:rPr>
      </w:pPr>
    </w:p>
    <w:p>
      <w:pPr>
        <w:ind w:left="720"/>
        <w:spacing w:after="0"/>
        <w:tabs>
          <w:tab w:leader="none" w:pos="2120" w:val="left"/>
        </w:tabs>
        <w:rPr>
          <w:sz w:val="20"/>
          <w:szCs w:val="20"/>
          <w:color w:val="auto"/>
        </w:rPr>
      </w:pPr>
      <w:r>
        <w:rPr>
          <w:rFonts w:ascii="Times New Roman" w:cs="Times New Roman" w:eastAsia="Times New Roman" w:hAnsi="Times New Roman"/>
          <w:sz w:val="20"/>
          <w:szCs w:val="20"/>
          <w:color w:val="auto"/>
        </w:rPr>
        <w:t>If to Executive:</w:t>
      </w:r>
      <w:r>
        <w:rPr>
          <w:sz w:val="20"/>
          <w:szCs w:val="20"/>
          <w:color w:val="auto"/>
        </w:rPr>
        <w:tab/>
      </w:r>
      <w:r>
        <w:rPr>
          <w:rFonts w:ascii="Times New Roman" w:cs="Times New Roman" w:eastAsia="Times New Roman" w:hAnsi="Times New Roman"/>
          <w:sz w:val="19"/>
          <w:szCs w:val="19"/>
          <w:color w:val="auto"/>
        </w:rPr>
        <w:t>At the last address (including email address) on file with the Bank</w:t>
      </w:r>
    </w:p>
    <w:p>
      <w:pPr>
        <w:spacing w:after="0" w:line="216" w:lineRule="exact"/>
        <w:rPr>
          <w:sz w:val="20"/>
          <w:szCs w:val="20"/>
          <w:color w:val="auto"/>
        </w:rPr>
      </w:pPr>
    </w:p>
    <w:p>
      <w:pPr>
        <w:ind w:left="720"/>
        <w:spacing w:after="0"/>
        <w:tabs>
          <w:tab w:leader="none" w:pos="2040" w:val="left"/>
        </w:tabs>
        <w:rPr>
          <w:sz w:val="20"/>
          <w:szCs w:val="20"/>
          <w:color w:val="auto"/>
        </w:rPr>
      </w:pPr>
      <w:r>
        <w:rPr>
          <w:rFonts w:ascii="Times New Roman" w:cs="Times New Roman" w:eastAsia="Times New Roman" w:hAnsi="Times New Roman"/>
          <w:sz w:val="20"/>
          <w:szCs w:val="20"/>
          <w:color w:val="auto"/>
        </w:rPr>
        <w:t>If to the Bank:</w:t>
      </w:r>
      <w:r>
        <w:rPr>
          <w:sz w:val="20"/>
          <w:szCs w:val="20"/>
          <w:color w:val="auto"/>
        </w:rPr>
        <w:tab/>
      </w:r>
      <w:r>
        <w:rPr>
          <w:rFonts w:ascii="Times New Roman" w:cs="Times New Roman" w:eastAsia="Times New Roman" w:hAnsi="Times New Roman"/>
          <w:sz w:val="19"/>
          <w:szCs w:val="19"/>
          <w:color w:val="auto"/>
        </w:rPr>
        <w:t>Burke &amp; Herbert Bank &amp; Trust Company</w:t>
      </w:r>
    </w:p>
    <w:p>
      <w:pPr>
        <w:spacing w:after="0" w:line="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100 South Fairfax Street</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Alexandria, Virginia 22314</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Attention: Corporate Secretary</w:t>
      </w:r>
    </w:p>
    <w:p>
      <w:pPr>
        <w:spacing w:after="0" w:line="21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b w:val="1"/>
          <w:bCs w:val="1"/>
          <w:u w:val="single" w:color="auto"/>
          <w:color w:val="auto"/>
        </w:rPr>
        <w:t>Amendment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modifications of this Agreement shall be valid unless made in writing and signed by the Parties hereto.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b w:val="1"/>
          <w:bCs w:val="1"/>
          <w:u w:val="single" w:color="auto"/>
          <w:color w:val="auto"/>
        </w:rPr>
        <w:t>Miscellaneous</w:t>
      </w:r>
    </w:p>
    <w:p>
      <w:pPr>
        <w:spacing w:after="0" w:line="220" w:lineRule="exact"/>
        <w:rPr>
          <w:sz w:val="20"/>
          <w:szCs w:val="20"/>
          <w:color w:val="auto"/>
        </w:rPr>
      </w:pPr>
    </w:p>
    <w:p>
      <w:pPr>
        <w:ind w:left="80" w:right="20" w:firstLine="1289"/>
        <w:spacing w:after="0" w:line="283" w:lineRule="auto"/>
        <w:tabs>
          <w:tab w:leader="none" w:pos="194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Any termination of Executive’s employment by the Bank shall be communicated in writing to Executive, and any voluntary termination of employment by Executive shall be communicated in writing to the Bank.</w:t>
      </w:r>
    </w:p>
    <w:p>
      <w:pPr>
        <w:spacing w:after="0" w:line="159" w:lineRule="exact"/>
        <w:rPr>
          <w:rFonts w:ascii="Times New Roman" w:cs="Times New Roman" w:eastAsia="Times New Roman" w:hAnsi="Times New Roman"/>
          <w:sz w:val="20"/>
          <w:szCs w:val="20"/>
          <w:color w:val="auto"/>
        </w:rPr>
      </w:pPr>
    </w:p>
    <w:p>
      <w:pPr>
        <w:jc w:val="both"/>
        <w:ind w:left="80" w:firstLine="1289"/>
        <w:spacing w:after="0" w:line="253" w:lineRule="auto"/>
        <w:tabs>
          <w:tab w:leader="none" w:pos="195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inure to the benefit of and be binding upon Executive, his legal representatives and estate and intestate distributees, and the Bank, its successors and assigns, including any successor by merger or consolidation or a statutory receiver or any other person or firm or corporation to which all or substantially all of the assets and business of the Bank may be sold or otherwise transferred. Any such successor of the Bank shall be deemed to have assumed this Agreement and to have become obligated hereunder to the same extent as the Bank, and Executive’s obligations hereunder shall continue in favor of such successor.</w:t>
      </w:r>
    </w:p>
    <w:p>
      <w:pPr>
        <w:spacing w:after="0" w:line="178" w:lineRule="exact"/>
        <w:rPr>
          <w:rFonts w:ascii="Times New Roman" w:cs="Times New Roman" w:eastAsia="Times New Roman" w:hAnsi="Times New Roman"/>
          <w:sz w:val="20"/>
          <w:szCs w:val="20"/>
          <w:color w:val="auto"/>
        </w:rPr>
      </w:pPr>
    </w:p>
    <w:p>
      <w:pPr>
        <w:ind w:left="80" w:right="20" w:firstLine="1289"/>
        <w:spacing w:after="0" w:line="283" w:lineRule="auto"/>
        <w:tabs>
          <w:tab w:leader="none" w:pos="194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 determination that any provision of this Agreement is invalid or unenforceable shall not affect the validity or enforceability of any other provision hereof.</w:t>
      </w:r>
    </w:p>
    <w:p>
      <w:pPr>
        <w:spacing w:after="0" w:line="146" w:lineRule="exact"/>
        <w:rPr>
          <w:rFonts w:ascii="Times New Roman" w:cs="Times New Roman" w:eastAsia="Times New Roman" w:hAnsi="Times New Roman"/>
          <w:sz w:val="20"/>
          <w:szCs w:val="20"/>
          <w:color w:val="auto"/>
        </w:rPr>
      </w:pPr>
    </w:p>
    <w:p>
      <w:pPr>
        <w:jc w:val="both"/>
        <w:ind w:left="80" w:firstLine="1289"/>
        <w:spacing w:after="0" w:line="258" w:lineRule="auto"/>
        <w:tabs>
          <w:tab w:leader="none" w:pos="195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Failure to insist upon strict compliance with any terms, covenants or conditions hereof shall not be deemed a waiver of such term, covenant or condition. A waiver of any provision of this Agreement must be made in writing, designated as a waiver, and signed by the Party against whom its enforcement is sought. Any waiver or relinquishment or any right or power hereunder at any one or more times shall not be deemed a waiver or relinquishment of such right or power at any other time or times.</w:t>
      </w:r>
    </w:p>
    <w:p>
      <w:pPr>
        <w:spacing w:after="0" w:line="185" w:lineRule="exact"/>
        <w:rPr>
          <w:rFonts w:ascii="Times New Roman" w:cs="Times New Roman" w:eastAsia="Times New Roman" w:hAnsi="Times New Roman"/>
          <w:sz w:val="20"/>
          <w:szCs w:val="20"/>
          <w:color w:val="auto"/>
        </w:rPr>
      </w:pPr>
    </w:p>
    <w:p>
      <w:pPr>
        <w:ind w:left="80" w:firstLine="1289"/>
        <w:spacing w:after="0" w:line="269" w:lineRule="auto"/>
        <w:tabs>
          <w:tab w:leader="none" w:pos="194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 be deemed an original, and all of which shall constitute one and the same Agreement.</w:t>
      </w:r>
    </w:p>
    <w:p>
      <w:pPr>
        <w:spacing w:after="0" w:line="172" w:lineRule="exact"/>
        <w:rPr>
          <w:rFonts w:ascii="Times New Roman" w:cs="Times New Roman" w:eastAsia="Times New Roman" w:hAnsi="Times New Roman"/>
          <w:sz w:val="20"/>
          <w:szCs w:val="20"/>
          <w:color w:val="auto"/>
        </w:rPr>
      </w:pPr>
    </w:p>
    <w:p>
      <w:pPr>
        <w:jc w:val="both"/>
        <w:ind w:left="80" w:firstLine="1289"/>
        <w:spacing w:after="0" w:line="261" w:lineRule="auto"/>
        <w:tabs>
          <w:tab w:leader="none" w:pos="195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and enforced in accordance with the laws of the Commonwealth of Virginia, without reference to conflicts of law principles, except to the extent governed by federal law in which case federal law shall govern.</w:t>
      </w:r>
    </w:p>
    <w:p>
      <w:pPr>
        <w:spacing w:after="0" w:line="181" w:lineRule="exact"/>
        <w:rPr>
          <w:rFonts w:ascii="Times New Roman" w:cs="Times New Roman" w:eastAsia="Times New Roman" w:hAnsi="Times New Roman"/>
          <w:sz w:val="20"/>
          <w:szCs w:val="20"/>
          <w:color w:val="auto"/>
        </w:rPr>
      </w:pPr>
    </w:p>
    <w:p>
      <w:pPr>
        <w:jc w:val="both"/>
        <w:ind w:left="80" w:firstLine="1289"/>
        <w:spacing w:after="0" w:line="261" w:lineRule="auto"/>
        <w:tabs>
          <w:tab w:leader="none" w:pos="195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and Construction</w:t>
      </w:r>
      <w:r>
        <w:rPr>
          <w:rFonts w:ascii="Times New Roman" w:cs="Times New Roman" w:eastAsia="Times New Roman" w:hAnsi="Times New Roman"/>
          <w:sz w:val="20"/>
          <w:szCs w:val="20"/>
          <w:color w:val="auto"/>
        </w:rPr>
        <w:t>. The headings of sections in this Agreement are for convenience of reference only and are not intended to qualify the meaning of any Article or Section. Any reference to an Article or Section number shall refer to an Article or Section of this Agreement,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99" w:right="339" w:bottom="1440" w:gutter="0" w:footer="0" w:header="0"/>
        </w:sectPr>
      </w:pPr>
    </w:p>
    <w:bookmarkStart w:id="105" w:name="page106"/>
    <w:bookmarkEnd w:id="105"/>
    <w:p>
      <w:pPr>
        <w:jc w:val="both"/>
        <w:ind w:left="80" w:firstLine="1289"/>
        <w:spacing w:after="0" w:line="261" w:lineRule="auto"/>
        <w:tabs>
          <w:tab w:leader="none" w:pos="195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instrument contains the entire agreement of the Parties relating to the subject matter hereof and supersedes in its entirety any and all prior agreements, understandings or representations relating to the subject matter hereof, including the Summit Employment Agreement.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b w:val="1"/>
          <w:bCs w:val="1"/>
          <w:u w:val="single" w:color="auto"/>
          <w:color w:val="auto"/>
        </w:rPr>
        <w:t>Section 409A</w:t>
      </w:r>
    </w:p>
    <w:p>
      <w:pPr>
        <w:spacing w:after="0" w:line="220" w:lineRule="exact"/>
        <w:rPr>
          <w:sz w:val="20"/>
          <w:szCs w:val="20"/>
          <w:color w:val="auto"/>
        </w:rPr>
      </w:pPr>
    </w:p>
    <w:p>
      <w:pPr>
        <w:jc w:val="both"/>
        <w:ind w:left="80" w:firstLine="583"/>
        <w:spacing w:after="0" w:line="264" w:lineRule="auto"/>
        <w:rPr>
          <w:sz w:val="20"/>
          <w:szCs w:val="20"/>
          <w:color w:val="auto"/>
        </w:rPr>
      </w:pPr>
      <w:r>
        <w:rPr>
          <w:rFonts w:ascii="Times New Roman" w:cs="Times New Roman" w:eastAsia="Times New Roman" w:hAnsi="Times New Roman"/>
          <w:sz w:val="19"/>
          <w:szCs w:val="19"/>
          <w:color w:val="auto"/>
        </w:rPr>
        <w:t>It is the intention of the Parties that the benefits and rights to which Executive could be entitled pursuant to this Agreement be exempt from or comply with Section 409A, and the provisions of this Agreement shall be construed in a manner consistent with that intent and the requirements for avoiding taxes or penalties under Section 409A. If either Party believes, at any time, that any such benefit or right that is subject to Section 409A does not so comply, it shall promptly advise the other Party and both Parties shall negotiate reasonably and in good faith to amend or clarify the terms of such benefits and rights such that they do not violate Section 409A (with the intent and effect of avoiding any adverse economic effect for Executive). No Party,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 If and to the extent required to comply with Section 409A, no payment or benefit required to be paid under this Agreement on account of termination of Executive’s employment shall be made unless and until Executive incurs a “Separation from Service” within the meaning of Section 409A and, for purposes of any such provision of this Agreement, references to a “termination,” “termination of employment,” “separation from service” or like terms shall mean Separation from Service. For purposes of applying the provisions of Section 409A to this Agreement, each amount to be paid or benefit to be provided to Executive pursuant to this Agreement, and each individual installment in a series of payments, shall be construed as a separate identified payment for purposes of Section 409A, and any payments described in this Agreement that are due within the “short term deferral period” as defined in Section 409A shall not be treated as deferred compensation unless applicable law requires otherwise. To the extent they are subject to Section 409A, amounts reimbursable to Executive shall be paid to Executive on or before the last day of the year following the year in which the expense was incurred and the amount of expenses eligible for reimbursement (and in-kind benefits provided to Executive) during one year may not affect amounts reimbursable or provided in any subsequent year.</w:t>
      </w:r>
    </w:p>
    <w:p>
      <w:pPr>
        <w:spacing w:after="0" w:line="17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the foregoing, the Bank makes no guarantee as to the treatment of payments and benefits hereunder under Section 409A, and Executive shall be solely responsible for the payment of any taxes, penalties, interest or other expenses incurred by Executive on account of non-compliance with Section 409A.</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b w:val="1"/>
          <w:bCs w:val="1"/>
          <w:u w:val="single" w:color="auto"/>
          <w:color w:val="auto"/>
        </w:rPr>
        <w:t>Tax Matters</w:t>
      </w:r>
    </w:p>
    <w:p>
      <w:pPr>
        <w:spacing w:after="0" w:line="220" w:lineRule="exact"/>
        <w:rPr>
          <w:sz w:val="20"/>
          <w:szCs w:val="20"/>
          <w:color w:val="auto"/>
        </w:rPr>
      </w:pPr>
    </w:p>
    <w:p>
      <w:pPr>
        <w:jc w:val="both"/>
        <w:ind w:firstLine="1369"/>
        <w:spacing w:after="0" w:line="253" w:lineRule="auto"/>
        <w:tabs>
          <w:tab w:leader="none" w:pos="193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4.4(c) hereto, in the event the receipt of all payments, benefits or distributions in the nature of compensation (within the meaning of Section 280G(b)(2) of the Code), whether paid or payable pursuant to this Agreement or otherwise (the “Change in Control Benefits”) would subject Executive to an excise tax imposed by Code Sections 280G and 4999, then such payments and/or benefits (the “Payments”) shall be reduced by the minimum amount necessary so that no portion of the Payments under this Agreement are non-deductible to the Bank pursuant to Code Section 280G and subject to the excise tax imposed under Code Section 4999 (the “Reduced Amount”). Any such reduction shall be implemented by determining the Parachute Payment Ratio (as defined below), as determined in good faith by the Bank, for each Payment and then reducing the Payments in order beginning with the Payment with the highest Parachute Payment Ratio. For any Payments with the same Parachute Payment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99" w:right="339" w:bottom="1440" w:gutter="0" w:footer="0" w:header="0"/>
        </w:sectPr>
      </w:pPr>
    </w:p>
    <w:bookmarkStart w:id="106" w:name="page107"/>
    <w:bookmarkEnd w:id="106"/>
    <w:p>
      <w:pPr>
        <w:jc w:val="both"/>
        <w:spacing w:after="0" w:line="251" w:lineRule="auto"/>
        <w:rPr>
          <w:sz w:val="20"/>
          <w:szCs w:val="20"/>
          <w:color w:val="auto"/>
        </w:rPr>
      </w:pPr>
      <w:r>
        <w:rPr>
          <w:rFonts w:ascii="Times New Roman" w:cs="Times New Roman" w:eastAsia="Times New Roman" w:hAnsi="Times New Roman"/>
          <w:sz w:val="20"/>
          <w:szCs w:val="20"/>
          <w:color w:val="auto"/>
        </w:rPr>
        <w:t>Ratio, such Payments will be reduced based on the time of payment of such Payments, with the latest Payments reduced first. For payments with the same Parachute Ratio and the same time of payment, each such Payment will be reduced proportionately. For purposes hereof, the term “Parachute Payment Ratio” shall mean a fraction, (x) the numerator of which is the value of the applicable total Payments (as calculated for purposes of Code Section 280G) and (y) the denominator of which is the intrinsic (i.e., economic) value of the applicable total Payments. Notwithstanding the foregoing, the Payments will not be reduced if it is determined that without such reduction, the Change in Control Benefits received by Executive on a net after-tax basis (including without limitation, any reduction for excise taxes payable under Code Section 4999) is greater than the Change in Control Benefits that Executive would receive, on a net after-tax benefit, if Executive is paid the Reduced Amount under the Agreement.</w:t>
      </w:r>
    </w:p>
    <w:p>
      <w:pPr>
        <w:spacing w:after="0" w:line="195" w:lineRule="exact"/>
        <w:rPr>
          <w:sz w:val="20"/>
          <w:szCs w:val="20"/>
          <w:color w:val="auto"/>
        </w:rPr>
      </w:pPr>
    </w:p>
    <w:p>
      <w:pPr>
        <w:jc w:val="both"/>
        <w:ind w:firstLine="1369"/>
        <w:spacing w:after="0" w:line="251" w:lineRule="auto"/>
        <w:tabs>
          <w:tab w:leader="none" w:pos="194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in writing by the Parties, all calculations with respect to Sections 280G and 4999 of the Code required under this Section 10.8 shall be determined by a nationally recognized firm with appropriate expertise mutually agreeable to the Bank and Executive (the “Firm”) whose determination will be conclusive and binding on all Parties. The Bank shall pay all fees charged by the Firm for this purpose. The Bank and Executive shall provide the Firm with all information or documents it reasonably requests, and the Firm will be entitled to rely on such information and on reasonable estimates and assumptions and interpretations of the provisions of Sections 280G and 4999 of the Code. If it is determined that the Payments should be reduced as a result of the Section 280G calculations performed by the Firm, the Bank shall promptly give (or cause the Firm to give) Executive notice to that effect and a copy of the detailed calculations thereof. All determinations made under this Section 10.8 shall be made as soon as reasonably practicable.</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b w:val="1"/>
          <w:bCs w:val="1"/>
          <w:u w:val="single" w:color="auto"/>
          <w:color w:val="auto"/>
        </w:rPr>
        <w:t>Withholding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Bank Entities may withhold from any amounts payable under this Agreement required federal, state, local and foreign taxes.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b w:val="1"/>
          <w:bCs w:val="1"/>
          <w:u w:val="single" w:color="auto"/>
          <w:color w:val="auto"/>
        </w:rPr>
        <w:t>Advice of Counsel</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Executive acknowledges that he has had the opportunity to be represented by counsel in the negotiation of this Agreement and is fully aware of his rights and obligations under this Agreement. This Agreement is the product of informed negotiations between Executive and the Bank. If any part of this Agreement is deemed to be unclear or ambiguous, it shall be construed as if it were drafted jointly by all parties. Executive and the Bank agree that none of the parties was in a superior bargaining position regarding the substantive terms of this Agreement.</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99" w:right="339" w:bottom="1440" w:gutter="0" w:footer="0" w:header="0"/>
        </w:sectPr>
      </w:pPr>
    </w:p>
    <w:bookmarkStart w:id="107" w:name="page108"/>
    <w:bookmarkEnd w:id="107"/>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Bank and Executive have duly executed this Agreement as of the day and year first written above.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Bradford E. Ritchie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Robert S. Tissue</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Robert S. Tissue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Burke &amp; Herbert Bank &amp; Trust Company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David P. Boyle</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David P. Boyle</w:t>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059"/>
          </w:cols>
          <w:pgMar w:left="400" w:top="1440"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Employment Agreement with Robert S. Tissue]</w:t>
      </w:r>
    </w:p>
    <w:p>
      <w:pPr>
        <w:sectPr>
          <w:pgSz w:w="11900" w:h="16838" w:orient="portrait"/>
          <w:cols w:equalWidth="0" w:num="1">
            <w:col w:w="9019"/>
          </w:cols>
          <w:pgMar w:left="1440" w:top="13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9019"/>
          </w:cols>
          <w:pgMar w:left="1440" w:top="1395" w:right="1440"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BURKE &amp; HERBERT FINANCIAL SERVICES CORP.</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STOCK INCENTIVE PLAN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UNIT AWARD</w:t>
      </w:r>
    </w:p>
    <w:p>
      <w:pPr>
        <w:spacing w:after="0" w:line="3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250825</wp:posOffset>
            </wp:positionV>
            <wp:extent cx="137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482600</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You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have been granted an award of Restricted Stock Units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subject to the terms and conditions of this Notice of Restricted Stock Unit Award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the Burke &amp; Herbert Financial Services Corp. 2019 Stock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Restricted Stock Unit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attached hereto, as follows. Unless otherwise provided herein, the terms in this Notice shall have the same meaning as those defined in the Plan.</w:t>
      </w:r>
    </w:p>
    <w:p>
      <w:pPr>
        <w:spacing w:after="0" w:line="2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Award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36830</wp:posOffset>
            </wp:positionV>
            <wp:extent cx="1714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Date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53975</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Total Number of Restricted Stock Units</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Awarded (the “</w:t>
      </w:r>
      <w:r>
        <w:rPr>
          <w:rFonts w:ascii="Times New Roman" w:cs="Times New Roman" w:eastAsia="Times New Roman" w:hAnsi="Times New Roman"/>
          <w:sz w:val="22"/>
          <w:szCs w:val="22"/>
          <w:u w:val="single" w:color="auto"/>
          <w:color w:val="auto"/>
        </w:rPr>
        <w:t>Units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Vesting Schedule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Subject to the Grantee’s Continuous Service and other limitations set forth in this Notice, the Agreement and the Plan,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Units will “vest” in accordance with the following schedule (the “</w:t>
      </w: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Units will vest 100% between three years after the Vesting Commencement Date and five years after the Vesting Commencement Date, provided that the closing price of a common share of Burke &amp; Herbert Financial Services Corp. equals or exceeds $85.00 for fifteen trading days, consecutive or non-consecutive, over a thirty day trading period prior to five years after the Vesting Commencement Date. A trading day shall mean any date on which the Nasdaq Stock Market is open for trading and such common share is traded on the Nasdaq Stock Market. If such conditions are not met, this grant of Units shall be forfeited as of the fifth anniversary of the Vesting Commencement Date.</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Notice and the Agreement, the term “vest” shall mean, with respect to any Units, that such Units are no longer subject to forfeiture to the Company. If the Grantee</w:t>
      </w:r>
    </w:p>
    <w:p>
      <w:pPr>
        <w:sectPr>
          <w:pgSz w:w="11900" w:h="16838" w:orient="portrait"/>
          <w:cols w:equalWidth="0" w:num="1">
            <w:col w:w="11240"/>
          </w:cols>
          <w:pgMar w:left="320" w:top="126" w:right="339" w:bottom="1440" w:gutter="0" w:footer="0" w:header="0"/>
        </w:sectPr>
      </w:pPr>
    </w:p>
    <w:bookmarkStart w:id="110" w:name="page111"/>
    <w:bookmarkEnd w:id="11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would become vested in a fraction of a Unit, such Unit shall not vest until the Grantee becomes vested in the entire Unit.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If Grantee dies or incurs a Disability prior to becoming vested, then 100% of the Units will become vested as of the date of the death or disability.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Dividend Equivalents</w:t>
      </w:r>
    </w:p>
    <w:p>
      <w:pPr>
        <w:spacing w:after="0" w:line="22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2"/>
          <w:szCs w:val="22"/>
          <w:color w:val="auto"/>
        </w:rPr>
        <w:t>In the event the Company declares a cash dividend on its Common Stock prior to the earlier of the date of the Award is settled in full or terminates, Dividend Equivalent Rights will be credited in respect of any then outstanding Units. Pending distribution or forfeiture of the Units, a bookkeeping account will be credited for the benefit of the Grantee with Dividends Equivalent Rights with respect to all cash dividends declared on the shares of Common Stock underlying the Units. To the extent and at the time that the Units vest in the Grantee, the Grantee will receive in cash the Dividend Equivalent Rights (without interest) associated with the Units. For the avoidance of doubt, to the extent that a Unit does not vest or is forfeited, the Dividend Equivalent Rights associated with the Unit shall be forfeited.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Status Change; Leaves of Absence</w:t>
      </w:r>
    </w:p>
    <w:p>
      <w:pPr>
        <w:spacing w:after="0" w:line="220"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In the event of the Grantee’s change in status from Employee to Consultant or Director, the determination of whether such change in status results in a termination of Continuous Service will be determined in accordance with Section 409A of the Code.</w:t>
      </w:r>
    </w:p>
    <w:p>
      <w:pPr>
        <w:spacing w:after="0" w:line="1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During any authorized leave of absence, the vesting of the Units as provided in this schedule shall be suspended (to the extent permitted under Section 409A of the Code) after the leave of absence exceeds a period of three (3) months. The Vesting Schedule of the Units shall be extended by the length of the suspension. Vesting of the Units shall resume upon the Grantee’s termination of the leave of absence and return to service to the Company or a Related Entity;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leave of absence exceeds six (6) months, and a return to service upon expiration of such leave is not guaranteed by statute or contract, then (a) the Grantee’s Continuous Service shall be deemed to terminate on the first date following such six (6) month period and</w:t>
      </w:r>
    </w:p>
    <w:p>
      <w:pPr>
        <w:spacing w:after="0" w:line="1" w:lineRule="exact"/>
        <w:rPr>
          <w:sz w:val="20"/>
          <w:szCs w:val="20"/>
          <w:color w:val="auto"/>
        </w:rPr>
      </w:pPr>
    </w:p>
    <w:p>
      <w:pPr>
        <w:jc w:val="both"/>
        <w:ind w:firstLine="8"/>
        <w:spacing w:after="0" w:line="246" w:lineRule="auto"/>
        <w:tabs>
          <w:tab w:leader="none" w:pos="34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will forfeit the Units that are unvested on the date of the Grantee’s termination of Continuous Service. An authorized leave of absence shall include sick leave, military leave, or other bona fide leave of absence (such as temporary employment by the government). Notwithstanding the foregoing, with respect to a leave of absence due to any medically determinable physical or mental impairment of the Grantee that can be expected to result in death or can be expected to last for a continuous period of not less than six (6) months, where such impairment causes the Grantee to be unable to perform the duties of the Grantee’s position of employment or substantially similar position of employment, a twenty-nine (29) month period of absence shall be substituted for such six (6) month period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and the Grantee have executed this Notice and agree that the Award is to be governed by the terms and conditions of this Notice, the Plan, and the Agreement.</w:t>
      </w:r>
    </w:p>
    <w:p>
      <w:pPr>
        <w:spacing w:after="0" w:line="20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BURKE &amp; HERBERT FINANCIAL</w:t>
      </w:r>
    </w:p>
    <w:p>
      <w:pPr>
        <w:spacing w:after="0" w:line="3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SERVICES CORP.</w:t>
      </w:r>
    </w:p>
    <w:p>
      <w:pPr>
        <w:spacing w:after="0" w:line="1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 Virginia corporation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-13970</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-13970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GRANTEE ACKNOWLEDGES AND AGREES THAT THE UNITS SHALL VEST, IF AT ALL, ONLY DURING THE PERIOD OF THE GRANTEE’S CONTINUOUS SERVICE OR AS OTHERWISE SPECIFICALLY PROVIDED HEREIN (NOT THROUGH THE ACT OF BEING HIRED, BEING GRANTED THIS AWARD OR ACQUIRING SHARES HEREUNDER). THE GRANTEE FURTHER ACKNOWLEDGES AND AGREES THAT NOTHING IN THIS NOTICE, THE AGREEMENT, NOR IN THE PLAN, SHALL CONFER UPON THE GRANTEE ANY RIGHT WITH RESPECT TO CONTINUATION OF THE GRANTEE’S CONTINUOUS SERVICE, NOR SHALL IT INTERFERE IN ANY WAY WITH THE GRANTEE’S RIGHT OR THE COMPANY’S RIGHT TO TERMINATE THE GRANTEE’S CONTINUOUS SERVICE AT ANY TIME, WITH OR WITHOUT CAUSE, AND WITH OR WITHOUT NOTICE. THE GRANTEE ACKNOWLEDGES THAT UNLESS THE GRANTEE HAS A WRITTEN EMPLOYMENT AGREEMENT WITH THE COMPANY TO THE CONTRARY, THE GRANTEE’S STATUS IS AT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Grantee Acknowledges and Agrees</w:t>
      </w:r>
      <w:r>
        <w:rPr>
          <w:rFonts w:ascii="Times New Roman" w:cs="Times New Roman" w:eastAsia="Times New Roman" w:hAnsi="Times New Roman"/>
          <w:sz w:val="22"/>
          <w:szCs w:val="22"/>
          <w:b w:val="1"/>
          <w:bCs w:val="1"/>
          <w:color w:val="auto"/>
        </w:rPr>
        <w:t>:</w:t>
      </w:r>
    </w:p>
    <w:p>
      <w:pPr>
        <w:spacing w:after="0" w:line="33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The Grantee acknowledges receipt of a copy of the Plan and the Agreement and represents that he or she is familiar with the terms and provisions thereof, and hereby accepts the Award subject to all of the terms and provisions hereof and thereof. The Grantee has reviewed this Notice, the Agreement and the Plan in their entirety, has had an opportunity to obtain the advice of counsel prior to executing this Notice and fully understands all provisions of this Notice, the Agreement and the Plan. The Grantee further agrees and acknowledges that this Award is a non-elective arrangement pursuant to Section 409A of the Code.</w:t>
      </w:r>
    </w:p>
    <w:p>
      <w:pPr>
        <w:spacing w:after="0" w:line="1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Grantee further acknowledges that, from time to time, the Company may be in a “blackout period” and/or subject to applicable federal securities laws that could subject the Grantee to liability for engaging in any transaction involving the sale of the Company’s Shares. The Grantee further acknowledges and agrees that, prior to the sale of any Shares acquired under this Award, it is the Grantee’s responsibility to determine whether or not such sale of Shares will subject the Grantee to liability under insider trading rules or other applicable federal securities laws.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The Grantee understands that the Award is subject to the Grantee’s consent to access this Notice, the Agreement, the Plan and the Plan prospectus (collectively, the “Plan Documents”) in electronic form on the Company’s intranet or the website of the Company’s designated brokerage firm, if applicable. By signing below (or providing an electronic signature by clicking below) and accepting the grant of the Award, the Grantee: (i) consents to access electronic copies (instead of receiving paper copies) of the Plan Documents via the Company’s intranet or the website of the Company’s designated brokerage firm, if applicable;</w:t>
      </w:r>
    </w:p>
    <w:p>
      <w:pPr>
        <w:spacing w:after="0" w:line="2" w:lineRule="exact"/>
        <w:rPr>
          <w:sz w:val="20"/>
          <w:szCs w:val="20"/>
          <w:color w:val="auto"/>
        </w:rPr>
      </w:pPr>
    </w:p>
    <w:p>
      <w:pPr>
        <w:jc w:val="both"/>
        <w:ind w:firstLine="8"/>
        <w:spacing w:after="0" w:line="249" w:lineRule="auto"/>
        <w:tabs>
          <w:tab w:leader="none" w:pos="32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that the Grantee has access to the Company’s intranet or the website of the Company’s designated brokerage firm, if applicable; (iii) acknowledges receipt of electronic copies, or that the Grantee is already in possession of paper copies, of the Plan Documents; and (iv) acknowledges that the Grantee is familiar with and accepts the Award subject to the terms and provisions of the Plan Documents.</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Plan Documents by electronic means or request the Grantee’s consent to participate in the Plan by electronic means. The Grantee hereby consents to receive such documents by electronic delivery and agrees to participate in the Plan through an on-line or electronic system established and maintained by the Company or a third party designated by the Company.</w:t>
      </w:r>
    </w:p>
    <w:p>
      <w:pPr>
        <w:spacing w:after="0" w:line="19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Grantee hereby agrees that all questions of interpretation and administration relating to this Notice, the Plan and the Agreement shall be resolved by the Administrator in accordance with Section 10 of the Agreement. The Grantee further agrees to the venue and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selection in accordance with Section 11 of the Agreement. The Grantee further agrees to notify the Company upon any change in his or her residence address indicated in this Notice.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-13970</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-13970</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337820</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Grantee’s 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259715</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225425</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City, State and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BURKE &amp; HERBERT FINANCIAL SERVICES CORP.</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2023 STOCK INCENTIVE PLAN</w:t>
      </w: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NOTICE OF GRANT OF PERFORMANCE RESTRICTED STOCK UNITS AWARD</w:t>
      </w:r>
    </w:p>
    <w:p>
      <w:pPr>
        <w:spacing w:after="0" w:line="200" w:lineRule="exact"/>
        <w:rPr>
          <w:sz w:val="20"/>
          <w:szCs w:val="20"/>
          <w:color w:val="auto"/>
        </w:rPr>
      </w:pPr>
    </w:p>
    <w:p>
      <w:pPr>
        <w:spacing w:after="0" w:line="317"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0"/>
          <w:szCs w:val="20"/>
          <w:color w:val="auto"/>
        </w:rPr>
        <w:t>Burke &amp; Herbert Financial Services Corp., pursuant to its 2023 Stock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individual listed below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this award of Performance Restricted Stock Units. The Performance Restricted Stock Units described in this Notice of Grant of Performance Restricted Stock Units Award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are subject to the terms and conditions set forth in the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each of which is incorporated herein by reference. Unless otherwise defined herein, capitalized terms used in this Notice and the Agreement will have the meanings defined in the Plan.</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640" w:type="dxa"/>
            <w:vAlign w:val="bottom"/>
            <w:tcBorders>
              <w:top w:val="single" w:sz="8" w:color="auto"/>
              <w:left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62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[Name]</w:t>
            </w:r>
          </w:p>
        </w:tc>
      </w:tr>
      <w:tr>
        <w:trPr>
          <w:trHeight w:val="21"/>
        </w:trPr>
        <w:tc>
          <w:tcPr>
            <w:tcW w:w="1280" w:type="dxa"/>
            <w:vAlign w:val="bottom"/>
            <w:tcBorders>
              <w:left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62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640" w:type="dxa"/>
            <w:vAlign w:val="bottom"/>
            <w:tcBorders>
              <w:left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6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  ] [ ], 2026</w:t>
            </w:r>
          </w:p>
        </w:tc>
      </w:tr>
      <w:tr>
        <w:trPr>
          <w:trHeight w:val="35"/>
        </w:trPr>
        <w:tc>
          <w:tcPr>
            <w:tcW w:w="128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256"/>
        </w:trPr>
        <w:tc>
          <w:tcPr>
            <w:tcW w:w="4640" w:type="dxa"/>
            <w:vAlign w:val="bottom"/>
            <w:tcBorders>
              <w:left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6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January 1, 2026 – December 31, 2028</w:t>
            </w:r>
          </w:p>
        </w:tc>
      </w:tr>
      <w:tr>
        <w:trPr>
          <w:trHeight w:val="21"/>
        </w:trPr>
        <w:tc>
          <w:tcPr>
            <w:tcW w:w="1280" w:type="dxa"/>
            <w:vAlign w:val="bottom"/>
            <w:tcBorders>
              <w:left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6220" w:type="dxa"/>
            <w:vAlign w:val="bottom"/>
            <w:tcBorders>
              <w:bottom w:val="single" w:sz="8" w:color="auto"/>
              <w:right w:val="single" w:sz="8" w:color="auto"/>
            </w:tcBorders>
          </w:tcPr>
          <w:p>
            <w:pPr>
              <w:spacing w:after="0" w:line="20" w:lineRule="exact"/>
              <w:rPr>
                <w:sz w:val="1"/>
                <w:szCs w:val="1"/>
                <w:color w:val="auto"/>
              </w:rPr>
            </w:pPr>
          </w:p>
        </w:tc>
      </w:tr>
      <w:tr>
        <w:trPr>
          <w:trHeight w:val="237"/>
        </w:trPr>
        <w:tc>
          <w:tcPr>
            <w:tcW w:w="4640" w:type="dxa"/>
            <w:vAlign w:val="bottom"/>
            <w:tcBorders>
              <w:left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20"/>
                <w:szCs w:val="20"/>
                <w:b w:val="1"/>
                <w:bCs w:val="1"/>
                <w:color w:val="auto"/>
              </w:rPr>
              <w:t>Target Number of Performance Restricted</w:t>
            </w:r>
          </w:p>
        </w:tc>
        <w:tc>
          <w:tcPr>
            <w:tcW w:w="6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r>
      <w:tr>
        <w:trPr>
          <w:trHeight w:val="216"/>
        </w:trPr>
        <w:tc>
          <w:tcPr>
            <w:tcW w:w="4640" w:type="dxa"/>
            <w:vAlign w:val="bottom"/>
            <w:tcBorders>
              <w:left w:val="single" w:sz="8" w:color="auto"/>
              <w:right w:val="single" w:sz="8" w:color="auto"/>
            </w:tcBorders>
            <w:gridSpan w:val="5"/>
          </w:tcPr>
          <w:p>
            <w:pPr>
              <w:ind w:left="80"/>
              <w:spacing w:after="0" w:line="216" w:lineRule="exact"/>
              <w:rPr>
                <w:sz w:val="20"/>
                <w:szCs w:val="20"/>
                <w:color w:val="auto"/>
              </w:rPr>
            </w:pPr>
            <w:r>
              <w:rPr>
                <w:rFonts w:ascii="Times New Roman" w:cs="Times New Roman" w:eastAsia="Times New Roman" w:hAnsi="Times New Roman"/>
                <w:sz w:val="20"/>
                <w:szCs w:val="20"/>
                <w:b w:val="1"/>
                <w:bCs w:val="1"/>
                <w:color w:val="auto"/>
              </w:rPr>
              <w:t>Stock Units (“Target Units”):</w:t>
            </w:r>
          </w:p>
        </w:tc>
        <w:tc>
          <w:tcPr>
            <w:tcW w:w="6220" w:type="dxa"/>
            <w:vAlign w:val="bottom"/>
            <w:tcBorders>
              <w:right w:val="single" w:sz="8" w:color="auto"/>
            </w:tcBorders>
          </w:tcPr>
          <w:p>
            <w:pPr>
              <w:spacing w:after="0"/>
              <w:rPr>
                <w:sz w:val="18"/>
                <w:szCs w:val="18"/>
                <w:color w:val="auto"/>
              </w:rPr>
            </w:pPr>
          </w:p>
        </w:tc>
      </w:tr>
      <w:tr>
        <w:trPr>
          <w:trHeight w:val="48"/>
        </w:trPr>
        <w:tc>
          <w:tcPr>
            <w:tcW w:w="1280" w:type="dxa"/>
            <w:vAlign w:val="bottom"/>
            <w:tcBorders>
              <w:left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6220" w:type="dxa"/>
            <w:vAlign w:val="bottom"/>
            <w:tcBorders>
              <w:bottom w:val="single" w:sz="8" w:color="auto"/>
              <w:right w:val="single" w:sz="8" w:color="auto"/>
            </w:tcBorders>
          </w:tcPr>
          <w:p>
            <w:pPr>
              <w:spacing w:after="0"/>
              <w:rPr>
                <w:sz w:val="4"/>
                <w:szCs w:val="4"/>
                <w:color w:val="auto"/>
              </w:rPr>
            </w:pPr>
          </w:p>
        </w:tc>
      </w:tr>
    </w:tbl>
    <w:p>
      <w:pPr>
        <w:spacing w:after="0" w:line="31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By signing below, the Participant agrees to be bound by the terms and conditions of the Plan, the Agreement, and this Notice. This document may be executed, including by electronic means, in multiple counterparts, each of which will be deemed an original, and all of which together will be deemed a single instrument.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6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b w:val="1"/>
                <w:bCs w:val="1"/>
                <w:color w:val="auto"/>
              </w:rPr>
              <w:t>BURKE &amp; HERBERT FINANCIAL SERVICES</w:t>
            </w:r>
          </w:p>
        </w:tc>
        <w:tc>
          <w:tcPr>
            <w:tcW w:w="2680" w:type="dxa"/>
            <w:vAlign w:val="bottom"/>
            <w:gridSpan w:val="5"/>
          </w:tcPr>
          <w:p>
            <w:pPr>
              <w:ind w:left="82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0" w:type="dxa"/>
            <w:vAlign w:val="bottom"/>
          </w:tcPr>
          <w:p>
            <w:pPr>
              <w:spacing w:after="0"/>
              <w:rPr>
                <w:sz w:val="1"/>
                <w:szCs w:val="1"/>
                <w:color w:val="auto"/>
              </w:rPr>
            </w:pPr>
          </w:p>
        </w:tc>
      </w:tr>
      <w:tr>
        <w:trPr>
          <w:trHeight w:val="62"/>
        </w:trPr>
        <w:tc>
          <w:tcPr>
            <w:tcW w:w="4960" w:type="dxa"/>
            <w:vAlign w:val="bottom"/>
            <w:gridSpan w:val="9"/>
            <w:vMerge w:val="continue"/>
          </w:tcPr>
          <w:p>
            <w:pPr>
              <w:spacing w:after="0"/>
              <w:rPr>
                <w:sz w:val="5"/>
                <w:szCs w:val="5"/>
                <w:color w:val="auto"/>
              </w:rPr>
            </w:pPr>
          </w:p>
        </w:tc>
        <w:tc>
          <w:tcPr>
            <w:tcW w:w="1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496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CORP.</w:t>
            </w: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496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auto"/>
              </w:rPr>
              <w:t>Sign:   Name:   Title:   Date:</w:t>
            </w:r>
          </w:p>
        </w:tc>
        <w:tc>
          <w:tcPr>
            <w:tcW w:w="2680" w:type="dxa"/>
            <w:vAlign w:val="bottom"/>
            <w:gridSpan w:val="5"/>
          </w:tcPr>
          <w:p>
            <w:pPr>
              <w:ind w:left="820"/>
              <w:spacing w:after="0"/>
              <w:rPr>
                <w:sz w:val="20"/>
                <w:szCs w:val="20"/>
                <w:color w:val="auto"/>
              </w:rPr>
            </w:pPr>
            <w:r>
              <w:rPr>
                <w:rFonts w:ascii="Times New Roman" w:cs="Times New Roman" w:eastAsia="Times New Roman" w:hAnsi="Times New Roman"/>
                <w:sz w:val="20"/>
                <w:szCs w:val="20"/>
                <w:color w:val="auto"/>
              </w:rPr>
              <w:t>Sign:   Name:   Date:</w:t>
            </w:r>
          </w:p>
        </w:tc>
        <w:tc>
          <w:tcPr>
            <w:tcW w:w="0" w:type="dxa"/>
            <w:vAlign w:val="bottom"/>
          </w:tcPr>
          <w:p>
            <w:pPr>
              <w:spacing w:after="0"/>
              <w:rPr>
                <w:sz w:val="1"/>
                <w:szCs w:val="1"/>
                <w:color w:val="auto"/>
              </w:rPr>
            </w:pPr>
          </w:p>
        </w:tc>
      </w:tr>
      <w:tr>
        <w:trPr>
          <w:trHeight w:val="61"/>
        </w:trPr>
        <w:tc>
          <w:tcPr>
            <w:tcW w:w="4960" w:type="dxa"/>
            <w:vAlign w:val="bottom"/>
            <w:gridSpan w:val="9"/>
            <w:vMerge w:val="continue"/>
          </w:tcPr>
          <w:p>
            <w:pPr>
              <w:spacing w:after="0"/>
              <w:rPr>
                <w:sz w:val="5"/>
                <w:szCs w:val="5"/>
                <w:color w:val="auto"/>
              </w:rPr>
            </w:pPr>
          </w:p>
        </w:tc>
        <w:tc>
          <w:tcPr>
            <w:tcW w:w="124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-59690</wp:posOffset>
            </wp:positionV>
            <wp:extent cx="1257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11120"/>
          </w:cols>
          <w:pgMar w:left="440" w:top="104" w:right="339" w:bottom="1440" w:gutter="0" w:footer="0" w:header="0"/>
        </w:sectPr>
      </w:pPr>
    </w:p>
    <w:bookmarkStart w:id="115" w:name="page116"/>
    <w:bookmarkEnd w:id="115"/>
    <w:p>
      <w:pPr>
        <w:spacing w:after="0" w:line="7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EXHIBIT A AWARD AGREEMENT</w:t>
      </w:r>
    </w:p>
    <w:p>
      <w:pPr>
        <w:spacing w:after="0" w:line="351" w:lineRule="exact"/>
        <w:rPr>
          <w:sz w:val="20"/>
          <w:szCs w:val="20"/>
          <w:color w:val="auto"/>
        </w:rPr>
      </w:pPr>
    </w:p>
    <w:p>
      <w:pPr>
        <w:jc w:val="both"/>
        <w:ind w:firstLine="323"/>
        <w:spacing w:after="0" w:line="260" w:lineRule="auto"/>
        <w:tabs>
          <w:tab w:leader="none" w:pos="78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Grant of Award</w:t>
      </w:r>
      <w:r>
        <w:rPr>
          <w:rFonts w:ascii="Times New Roman" w:cs="Times New Roman" w:eastAsia="Times New Roman" w:hAnsi="Times New Roman"/>
          <w:sz w:val="20"/>
          <w:szCs w:val="20"/>
          <w:color w:val="auto"/>
        </w:rPr>
        <w:t>. Effective as of the Grant Date set forth in the Notice, the Company has granted to the Participant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of Performance Restricted Stock Units (the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which may become vested subject to the restrictions and on the terms and conditions set forth in the Notice, the Plan, and this Agreement. Each Performance Restricted Stock Unit granted hereunder (“</w:t>
      </w:r>
      <w:r>
        <w:rPr>
          <w:rFonts w:ascii="Times New Roman" w:cs="Times New Roman" w:eastAsia="Times New Roman" w:hAnsi="Times New Roman"/>
          <w:sz w:val="20"/>
          <w:szCs w:val="20"/>
          <w:u w:val="single" w:color="auto"/>
          <w:color w:val="auto"/>
        </w:rPr>
        <w:t>PRSU</w:t>
      </w:r>
      <w:r>
        <w:rPr>
          <w:rFonts w:ascii="Times New Roman" w:cs="Times New Roman" w:eastAsia="Times New Roman" w:hAnsi="Times New Roman"/>
          <w:sz w:val="20"/>
          <w:szCs w:val="20"/>
          <w:color w:val="auto"/>
        </w:rPr>
        <w:t>”) represents the right to receive one Share, subject to the terms and conditions set forth herein.</w:t>
      </w:r>
    </w:p>
    <w:p>
      <w:pPr>
        <w:spacing w:after="0" w:line="137" w:lineRule="exact"/>
        <w:rPr>
          <w:rFonts w:ascii="Times New Roman" w:cs="Times New Roman" w:eastAsia="Times New Roman" w:hAnsi="Times New Roman"/>
          <w:sz w:val="20"/>
          <w:szCs w:val="20"/>
          <w:color w:val="auto"/>
        </w:rPr>
      </w:pPr>
    </w:p>
    <w:p>
      <w:pPr>
        <w:jc w:val="both"/>
        <w:ind w:firstLine="323"/>
        <w:spacing w:after="0" w:line="254" w:lineRule="auto"/>
        <w:tabs>
          <w:tab w:leader="none" w:pos="78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Vesting Conditions and Settlement</w:t>
      </w:r>
      <w:r>
        <w:rPr>
          <w:rFonts w:ascii="Times New Roman" w:cs="Times New Roman" w:eastAsia="Times New Roman" w:hAnsi="Times New Roman"/>
          <w:sz w:val="20"/>
          <w:szCs w:val="20"/>
          <w:color w:val="auto"/>
        </w:rPr>
        <w:t>. The PRSUs may become vested upon the achievement of the performance vesting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described below (the “</w:t>
      </w:r>
      <w:r>
        <w:rPr>
          <w:rFonts w:ascii="Times New Roman" w:cs="Times New Roman" w:eastAsia="Times New Roman" w:hAnsi="Times New Roman"/>
          <w:sz w:val="20"/>
          <w:szCs w:val="20"/>
          <w:u w:val="single" w:color="auto"/>
          <w:color w:val="auto"/>
        </w:rPr>
        <w:t>Performance-Vesting Conditions</w:t>
      </w:r>
      <w:r>
        <w:rPr>
          <w:rFonts w:ascii="Times New Roman" w:cs="Times New Roman" w:eastAsia="Times New Roman" w:hAnsi="Times New Roman"/>
          <w:sz w:val="20"/>
          <w:szCs w:val="20"/>
          <w:color w:val="auto"/>
        </w:rPr>
        <w:t>”), subject to the Participant’s continuous service with the Company through the end of the Performance Period (the “</w:t>
      </w:r>
      <w:r>
        <w:rPr>
          <w:rFonts w:ascii="Times New Roman" w:cs="Times New Roman" w:eastAsia="Times New Roman" w:hAnsi="Times New Roman"/>
          <w:sz w:val="20"/>
          <w:szCs w:val="20"/>
          <w:u w:val="single" w:color="auto"/>
          <w:color w:val="auto"/>
        </w:rPr>
        <w:t>Time-Vesting Condition</w:t>
      </w:r>
      <w:r>
        <w:rPr>
          <w:rFonts w:ascii="Times New Roman" w:cs="Times New Roman" w:eastAsia="Times New Roman" w:hAnsi="Times New Roman"/>
          <w:sz w:val="20"/>
          <w:szCs w:val="20"/>
          <w:color w:val="auto"/>
        </w:rPr>
        <w:t>”). Solely for purposes of this Agreement, service with the Company shall be deemed to include service with an Affiliate (for only so long as such entity remains an Affiliate of the Company). Each performance metric shall be assessed independently. Failure to attain “Threshold” performance in any one performance metric shall have no effect on the vesting of PRSUs attributable to the remaining performance metrics.</w:t>
      </w:r>
    </w:p>
    <w:p>
      <w:pPr>
        <w:spacing w:after="0" w:line="150" w:lineRule="exact"/>
        <w:rPr>
          <w:rFonts w:ascii="Times New Roman" w:cs="Times New Roman" w:eastAsia="Times New Roman" w:hAnsi="Times New Roman"/>
          <w:sz w:val="20"/>
          <w:szCs w:val="20"/>
          <w:color w:val="auto"/>
        </w:rPr>
      </w:pPr>
    </w:p>
    <w:p>
      <w:pPr>
        <w:ind w:left="880" w:hanging="313"/>
        <w:spacing w:after="0"/>
        <w:tabs>
          <w:tab w:leader="none" w:pos="88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rTSR Performance Metric</w:t>
      </w:r>
      <w:r>
        <w:rPr>
          <w:rFonts w:ascii="Times New Roman" w:cs="Times New Roman" w:eastAsia="Times New Roman" w:hAnsi="Times New Roman"/>
          <w:sz w:val="20"/>
          <w:szCs w:val="20"/>
          <w:color w:val="auto"/>
        </w:rPr>
        <w:t>. Subject to the fulfillment of the Time-Vesting Condition:</w:t>
      </w:r>
    </w:p>
    <w:p>
      <w:pPr>
        <w:spacing w:after="0" w:line="269" w:lineRule="exact"/>
        <w:rPr>
          <w:rFonts w:ascii="Times New Roman" w:cs="Times New Roman" w:eastAsia="Times New Roman" w:hAnsi="Times New Roman"/>
          <w:sz w:val="20"/>
          <w:szCs w:val="20"/>
          <w:color w:val="auto"/>
        </w:rPr>
      </w:pPr>
    </w:p>
    <w:p>
      <w:pPr>
        <w:jc w:val="both"/>
        <w:ind w:left="900" w:right="20" w:hanging="397"/>
        <w:spacing w:after="0" w:line="242" w:lineRule="auto"/>
        <w:tabs>
          <w:tab w:leader="none" w:pos="89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1/3 of the Target Units (the “</w:t>
      </w:r>
      <w:r>
        <w:rPr>
          <w:rFonts w:ascii="Times New Roman" w:cs="Times New Roman" w:eastAsia="Times New Roman" w:hAnsi="Times New Roman"/>
          <w:sz w:val="20"/>
          <w:szCs w:val="20"/>
          <w:u w:val="single" w:color="auto"/>
          <w:color w:val="auto"/>
        </w:rPr>
        <w:t>Target rTSR Units</w:t>
      </w:r>
      <w:r>
        <w:rPr>
          <w:rFonts w:ascii="Times New Roman" w:cs="Times New Roman" w:eastAsia="Times New Roman" w:hAnsi="Times New Roman"/>
          <w:sz w:val="20"/>
          <w:szCs w:val="20"/>
          <w:color w:val="auto"/>
        </w:rPr>
        <w:t>”) may become vested based on the achievement of the Company’s TSR ranking relative to the TSR of the companies listed on Appendix A hereto (such companies collectively the “</w:t>
      </w:r>
      <w:r>
        <w:rPr>
          <w:rFonts w:ascii="Times New Roman" w:cs="Times New Roman" w:eastAsia="Times New Roman" w:hAnsi="Times New Roman"/>
          <w:sz w:val="20"/>
          <w:szCs w:val="20"/>
          <w:u w:val="single" w:color="auto"/>
          <w:color w:val="auto"/>
        </w:rPr>
        <w:t>Peer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Group</w:t>
      </w:r>
      <w:r>
        <w:rPr>
          <w:rFonts w:ascii="Times New Roman" w:cs="Times New Roman" w:eastAsia="Times New Roman" w:hAnsi="Times New Roman"/>
          <w:sz w:val="20"/>
          <w:szCs w:val="20"/>
          <w:color w:val="auto"/>
        </w:rPr>
        <w:t>”), measured at the end of the Performance Period as follows:</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3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Performance Level</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Company TSR Percentile</w:t>
            </w:r>
          </w:p>
        </w:tc>
        <w:tc>
          <w:tcPr>
            <w:tcW w:w="3920" w:type="dxa"/>
            <w:vAlign w:val="bottom"/>
            <w:tcBorders>
              <w:top w:val="single" w:sz="8" w:color="auto"/>
              <w:right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Percentage of Target rTSR Units Eligible</w:t>
            </w:r>
          </w:p>
        </w:tc>
      </w:tr>
      <w:tr>
        <w:trPr>
          <w:trHeight w:val="230"/>
        </w:trPr>
        <w:tc>
          <w:tcPr>
            <w:tcW w:w="2320" w:type="dxa"/>
            <w:vAlign w:val="bottom"/>
            <w:tcBorders>
              <w:left w:val="single" w:sz="8" w:color="auto"/>
              <w:right w:val="single" w:sz="8" w:color="auto"/>
            </w:tcBorders>
          </w:tcPr>
          <w:p>
            <w:pPr>
              <w:spacing w:after="0"/>
              <w:rPr>
                <w:sz w:val="19"/>
                <w:szCs w:val="19"/>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Rank Relative to Peer</w:t>
            </w:r>
          </w:p>
        </w:tc>
        <w:tc>
          <w:tcPr>
            <w:tcW w:w="3920" w:type="dxa"/>
            <w:vAlign w:val="bottom"/>
            <w:tcBorders>
              <w:right w:val="single" w:sz="8" w:color="auto"/>
            </w:tcBorders>
          </w:tcPr>
          <w:p>
            <w:pPr>
              <w:jc w:val="right"/>
              <w:ind w:right="2341"/>
              <w:spacing w:after="0"/>
              <w:rPr>
                <w:sz w:val="20"/>
                <w:szCs w:val="20"/>
                <w:color w:val="auto"/>
              </w:rPr>
            </w:pPr>
            <w:r>
              <w:rPr>
                <w:rFonts w:ascii="Times New Roman" w:cs="Times New Roman" w:eastAsia="Times New Roman" w:hAnsi="Times New Roman"/>
                <w:sz w:val="20"/>
                <w:szCs w:val="20"/>
                <w:b w:val="1"/>
                <w:bCs w:val="1"/>
                <w:color w:val="auto"/>
              </w:rPr>
              <w:t>to Vest</w:t>
            </w:r>
          </w:p>
        </w:tc>
      </w:tr>
      <w:tr>
        <w:trPr>
          <w:trHeight w:val="262"/>
        </w:trPr>
        <w:tc>
          <w:tcPr>
            <w:tcW w:w="2320" w:type="dxa"/>
            <w:vAlign w:val="bottom"/>
            <w:tcBorders>
              <w:left w:val="single" w:sz="8" w:color="auto"/>
              <w:right w:val="single" w:sz="8" w:color="auto"/>
            </w:tcBorders>
          </w:tcPr>
          <w:p>
            <w:pPr>
              <w:spacing w:after="0"/>
              <w:rPr>
                <w:sz w:val="22"/>
                <w:szCs w:val="22"/>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Group TSR (“rTSR”)</w:t>
            </w:r>
          </w:p>
        </w:tc>
        <w:tc>
          <w:tcPr>
            <w:tcW w:w="3920" w:type="dxa"/>
            <w:vAlign w:val="bottom"/>
            <w:tcBorders>
              <w:right w:val="single" w:sz="8" w:color="auto"/>
            </w:tcBorders>
          </w:tcPr>
          <w:p>
            <w:pPr>
              <w:spacing w:after="0"/>
              <w:rPr>
                <w:sz w:val="22"/>
                <w:szCs w:val="22"/>
                <w:color w:val="auto"/>
              </w:rPr>
            </w:pPr>
          </w:p>
        </w:tc>
      </w:tr>
      <w:tr>
        <w:trPr>
          <w:trHeight w:val="35"/>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3920" w:type="dxa"/>
            <w:vAlign w:val="bottom"/>
            <w:tcBorders>
              <w:bottom w:val="single" w:sz="8" w:color="auto"/>
              <w:right w:val="single" w:sz="8" w:color="auto"/>
            </w:tcBorders>
          </w:tcPr>
          <w:p>
            <w:pPr>
              <w:spacing w:after="0"/>
              <w:rPr>
                <w:sz w:val="3"/>
                <w:szCs w:val="3"/>
                <w:color w:val="auto"/>
              </w:rPr>
            </w:pPr>
          </w:p>
        </w:tc>
      </w:tr>
      <w:tr>
        <w:trPr>
          <w:trHeight w:val="29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75</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Percentile or More</w:t>
            </w:r>
          </w:p>
        </w:tc>
        <w:tc>
          <w:tcPr>
            <w:tcW w:w="3920" w:type="dxa"/>
            <w:vAlign w:val="bottom"/>
            <w:tcBorders>
              <w:bottom w:val="single" w:sz="8" w:color="auto"/>
              <w:right w:val="single" w:sz="8" w:color="auto"/>
            </w:tcBorders>
          </w:tcPr>
          <w:p>
            <w:pPr>
              <w:jc w:val="center"/>
              <w:ind w:left="721"/>
              <w:spacing w:after="0"/>
              <w:rPr>
                <w:sz w:val="20"/>
                <w:szCs w:val="20"/>
                <w:color w:val="auto"/>
              </w:rPr>
            </w:pPr>
            <w:r>
              <w:rPr>
                <w:rFonts w:ascii="Times New Roman" w:cs="Times New Roman" w:eastAsia="Times New Roman" w:hAnsi="Times New Roman"/>
                <w:sz w:val="20"/>
                <w:szCs w:val="20"/>
                <w:color w:val="auto"/>
                <w:w w:val="98"/>
              </w:rPr>
              <w:t>200%</w:t>
            </w:r>
          </w:p>
        </w:tc>
      </w:tr>
      <w:tr>
        <w:trPr>
          <w:trHeight w:val="304"/>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50</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3920" w:type="dxa"/>
            <w:vAlign w:val="bottom"/>
            <w:tcBorders>
              <w:bottom w:val="single" w:sz="8" w:color="auto"/>
              <w:right w:val="single" w:sz="8" w:color="auto"/>
            </w:tcBorders>
          </w:tcPr>
          <w:p>
            <w:pPr>
              <w:jc w:val="center"/>
              <w:ind w:left="721"/>
              <w:spacing w:after="0"/>
              <w:rPr>
                <w:sz w:val="20"/>
                <w:szCs w:val="20"/>
                <w:color w:val="auto"/>
              </w:rPr>
            </w:pPr>
            <w:r>
              <w:rPr>
                <w:rFonts w:ascii="Times New Roman" w:cs="Times New Roman" w:eastAsia="Times New Roman" w:hAnsi="Times New Roman"/>
                <w:sz w:val="20"/>
                <w:szCs w:val="20"/>
                <w:color w:val="auto"/>
                <w:w w:val="98"/>
              </w:rPr>
              <w:t>100%</w:t>
            </w:r>
          </w:p>
        </w:tc>
      </w:tr>
      <w:tr>
        <w:trPr>
          <w:trHeight w:val="304"/>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25</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3920" w:type="dxa"/>
            <w:vAlign w:val="bottom"/>
            <w:tcBorders>
              <w:bottom w:val="single" w:sz="8" w:color="auto"/>
              <w:right w:val="single" w:sz="8" w:color="auto"/>
            </w:tcBorders>
          </w:tcPr>
          <w:p>
            <w:pPr>
              <w:jc w:val="center"/>
              <w:ind w:left="701"/>
              <w:spacing w:after="0"/>
              <w:rPr>
                <w:sz w:val="20"/>
                <w:szCs w:val="20"/>
                <w:color w:val="auto"/>
              </w:rPr>
            </w:pPr>
            <w:r>
              <w:rPr>
                <w:rFonts w:ascii="Times New Roman" w:cs="Times New Roman" w:eastAsia="Times New Roman" w:hAnsi="Times New Roman"/>
                <w:sz w:val="20"/>
                <w:szCs w:val="20"/>
                <w:color w:val="auto"/>
                <w:w w:val="98"/>
              </w:rPr>
              <w:t>50%</w:t>
            </w:r>
          </w:p>
        </w:tc>
      </w:tr>
      <w:tr>
        <w:trPr>
          <w:trHeight w:val="304"/>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Below Threshold</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Below 25</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Percentile</w:t>
            </w:r>
          </w:p>
        </w:tc>
        <w:tc>
          <w:tcPr>
            <w:tcW w:w="3920" w:type="dxa"/>
            <w:vAlign w:val="bottom"/>
            <w:tcBorders>
              <w:bottom w:val="single" w:sz="8" w:color="auto"/>
              <w:right w:val="single" w:sz="8" w:color="auto"/>
            </w:tcBorders>
          </w:tcPr>
          <w:p>
            <w:pPr>
              <w:jc w:val="right"/>
              <w:ind w:right="2161"/>
              <w:spacing w:after="0"/>
              <w:rPr>
                <w:sz w:val="20"/>
                <w:szCs w:val="20"/>
                <w:color w:val="auto"/>
              </w:rPr>
            </w:pPr>
            <w:r>
              <w:rPr>
                <w:rFonts w:ascii="Times New Roman" w:cs="Times New Roman" w:eastAsia="Times New Roman" w:hAnsi="Times New Roman"/>
                <w:sz w:val="20"/>
                <w:szCs w:val="20"/>
                <w:color w:val="auto"/>
              </w:rPr>
              <w:t>0%</w:t>
            </w:r>
          </w:p>
        </w:tc>
      </w:tr>
    </w:tbl>
    <w:p>
      <w:pPr>
        <w:spacing w:after="0" w:line="200" w:lineRule="exact"/>
        <w:rPr>
          <w:sz w:val="20"/>
          <w:szCs w:val="20"/>
          <w:color w:val="auto"/>
        </w:rPr>
      </w:pPr>
    </w:p>
    <w:p>
      <w:pPr>
        <w:spacing w:after="0" w:line="371" w:lineRule="exact"/>
        <w:rPr>
          <w:sz w:val="20"/>
          <w:szCs w:val="20"/>
          <w:color w:val="auto"/>
        </w:rPr>
      </w:pPr>
    </w:p>
    <w:p>
      <w:pPr>
        <w:ind w:left="900" w:hanging="398"/>
        <w:spacing w:after="0" w:line="245" w:lineRule="auto"/>
        <w:tabs>
          <w:tab w:leader="none" w:pos="8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that the Company’s absolute TSR is a negative number, the maximum number of Target rTSR Units that may vest shall be 100% of the Target rTSR Units.</w:t>
      </w:r>
    </w:p>
    <w:p>
      <w:pPr>
        <w:spacing w:after="0" w:line="235" w:lineRule="exact"/>
        <w:rPr>
          <w:rFonts w:ascii="Times New Roman" w:cs="Times New Roman" w:eastAsia="Times New Roman" w:hAnsi="Times New Roman"/>
          <w:sz w:val="22"/>
          <w:szCs w:val="22"/>
          <w:color w:val="auto"/>
        </w:rPr>
      </w:pPr>
    </w:p>
    <w:p>
      <w:pPr>
        <w:jc w:val="both"/>
        <w:ind w:left="900" w:hanging="397"/>
        <w:spacing w:after="0" w:line="245" w:lineRule="auto"/>
        <w:tabs>
          <w:tab w:leader="none" w:pos="88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Average Closing Price</w:t>
      </w:r>
      <w:r>
        <w:rPr>
          <w:rFonts w:ascii="Times New Roman" w:cs="Times New Roman" w:eastAsia="Times New Roman" w:hAnsi="Times New Roman"/>
          <w:sz w:val="20"/>
          <w:szCs w:val="20"/>
          <w:color w:val="auto"/>
        </w:rPr>
        <w:t>” means, (i) when determining it with reference to the first day of the Performance Period, the average of the closing price of the applicable stock for the 20 consecutive trading days ending on the date immediately preceding the first day of the Performance Period, and (ii) when determining it with reference to the last day of the Performance Period, the average of the closing price of the applicable stock for the 20</w:t>
      </w:r>
    </w:p>
    <w:p>
      <w:pPr>
        <w:sectPr>
          <w:pgSz w:w="11900" w:h="16838" w:orient="portrait"/>
          <w:cols w:equalWidth="0" w:num="1">
            <w:col w:w="10620"/>
          </w:cols>
          <w:pgMar w:left="840" w:top="1440" w:right="439" w:bottom="1440" w:gutter="0" w:footer="0" w:header="0"/>
        </w:sectPr>
      </w:pPr>
    </w:p>
    <w:bookmarkStart w:id="116" w:name="page117"/>
    <w:bookmarkEnd w:id="116"/>
    <w:p>
      <w:pPr>
        <w:jc w:val="both"/>
        <w:ind w:left="900"/>
        <w:spacing w:after="0" w:line="253" w:lineRule="auto"/>
        <w:rPr>
          <w:sz w:val="20"/>
          <w:szCs w:val="20"/>
          <w:color w:val="auto"/>
        </w:rPr>
      </w:pPr>
      <w:r>
        <w:rPr>
          <w:rFonts w:ascii="Times New Roman" w:cs="Times New Roman" w:eastAsia="Times New Roman" w:hAnsi="Times New Roman"/>
          <w:sz w:val="20"/>
          <w:szCs w:val="20"/>
          <w:color w:val="auto"/>
        </w:rPr>
        <w:t>consecutive trading days ending on the last day of the Performance Period. For purposes of the calculation, dividend reinvestment will be deemed to occur on the ex-dividend date. The Committee shall make appropriate equitable adjustments, as determined by the Committee in its sole discretion, to account for extraordinary items affecting a company’s capital structure during the Performance Period, such as a stock split, reverse stock split, stock dividend, split up, spin-off, or other distribution, combination or exchange of such company’s stock.</w:t>
      </w:r>
    </w:p>
    <w:p>
      <w:pPr>
        <w:spacing w:after="0" w:line="232" w:lineRule="exact"/>
        <w:rPr>
          <w:sz w:val="20"/>
          <w:szCs w:val="20"/>
          <w:color w:val="auto"/>
        </w:rPr>
      </w:pPr>
    </w:p>
    <w:p>
      <w:pPr>
        <w:jc w:val="both"/>
        <w:ind w:left="900" w:hanging="398"/>
        <w:spacing w:after="0" w:line="250" w:lineRule="auto"/>
        <w:tabs>
          <w:tab w:leader="none" w:pos="89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(or total shareholder return) means, (x) the Average Closing Price of a company’s share of common stock determined as of the last day of the Performance Period less the Average Closing Price of a company’s share of common stock determined as of the first day of the Performance Period plus reinvested dividends, divided by (y) the Average Closing Price of a company’s share of common stock determined as of the first day of the Performance Period.</w:t>
      </w:r>
    </w:p>
    <w:p>
      <w:pPr>
        <w:spacing w:after="0" w:line="219" w:lineRule="exact"/>
        <w:rPr>
          <w:sz w:val="20"/>
          <w:szCs w:val="20"/>
          <w:color w:val="auto"/>
        </w:rPr>
      </w:pPr>
    </w:p>
    <w:p>
      <w:pPr>
        <w:ind w:left="1420" w:hanging="852"/>
        <w:spacing w:after="0"/>
        <w:tabs>
          <w:tab w:leader="none" w:pos="14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Three-year ROAA Performance Metric</w:t>
      </w:r>
      <w:r>
        <w:rPr>
          <w:rFonts w:ascii="Times New Roman" w:cs="Times New Roman" w:eastAsia="Times New Roman" w:hAnsi="Times New Roman"/>
          <w:sz w:val="20"/>
          <w:szCs w:val="20"/>
          <w:color w:val="auto"/>
        </w:rPr>
        <w:t>. Subject to the fulfillment of the Time-Vesting Condition:</w:t>
      </w:r>
    </w:p>
    <w:p>
      <w:pPr>
        <w:spacing w:after="0" w:line="269" w:lineRule="exact"/>
        <w:rPr>
          <w:rFonts w:ascii="Times New Roman" w:cs="Times New Roman" w:eastAsia="Times New Roman" w:hAnsi="Times New Roman"/>
          <w:sz w:val="20"/>
          <w:szCs w:val="20"/>
          <w:color w:val="auto"/>
        </w:rPr>
      </w:pPr>
    </w:p>
    <w:p>
      <w:pPr>
        <w:ind w:left="900" w:hanging="398"/>
        <w:spacing w:after="0" w:line="245" w:lineRule="auto"/>
        <w:tabs>
          <w:tab w:leader="none" w:pos="89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1/3 of the Target Units may become vested based on the achievement of the Company’s Three-year ROAA performance metric (the “</w:t>
      </w:r>
      <w:r>
        <w:rPr>
          <w:rFonts w:ascii="Times New Roman" w:cs="Times New Roman" w:eastAsia="Times New Roman" w:hAnsi="Times New Roman"/>
          <w:sz w:val="20"/>
          <w:szCs w:val="20"/>
          <w:u w:val="single" w:color="auto"/>
          <w:color w:val="auto"/>
        </w:rPr>
        <w:t>Target ROAA Units</w:t>
      </w:r>
      <w:r>
        <w:rPr>
          <w:rFonts w:ascii="Times New Roman" w:cs="Times New Roman" w:eastAsia="Times New Roman" w:hAnsi="Times New Roman"/>
          <w:sz w:val="20"/>
          <w:szCs w:val="20"/>
          <w:color w:val="auto"/>
        </w:rPr>
        <w:t>”), measured at the end of the Performance Period as follows:</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Performance Level</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Three-year ROAA</w:t>
            </w:r>
          </w:p>
        </w:tc>
        <w:tc>
          <w:tcPr>
            <w:tcW w:w="3920" w:type="dxa"/>
            <w:vAlign w:val="bottom"/>
            <w:tcBorders>
              <w:top w:val="single" w:sz="8" w:color="auto"/>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Percentage of Target ROAA Units Eligible</w:t>
            </w:r>
          </w:p>
        </w:tc>
      </w:tr>
      <w:tr>
        <w:trPr>
          <w:trHeight w:val="262"/>
        </w:trPr>
        <w:tc>
          <w:tcPr>
            <w:tcW w:w="2340" w:type="dxa"/>
            <w:vAlign w:val="bottom"/>
            <w:tcBorders>
              <w:left w:val="single" w:sz="8" w:color="auto"/>
              <w:right w:val="single" w:sz="8" w:color="auto"/>
            </w:tcBorders>
          </w:tcPr>
          <w:p>
            <w:pPr>
              <w:spacing w:after="0"/>
              <w:rPr>
                <w:sz w:val="22"/>
                <w:szCs w:val="22"/>
                <w:color w:val="auto"/>
              </w:rPr>
            </w:pPr>
          </w:p>
        </w:tc>
        <w:tc>
          <w:tcPr>
            <w:tcW w:w="2520" w:type="dxa"/>
            <w:vAlign w:val="bottom"/>
            <w:tcBorders>
              <w:right w:val="single" w:sz="8" w:color="auto"/>
            </w:tcBorders>
          </w:tcPr>
          <w:p>
            <w:pPr>
              <w:spacing w:after="0"/>
              <w:rPr>
                <w:sz w:val="22"/>
                <w:szCs w:val="22"/>
                <w:color w:val="auto"/>
              </w:rPr>
            </w:pPr>
          </w:p>
        </w:tc>
        <w:tc>
          <w:tcPr>
            <w:tcW w:w="3920" w:type="dxa"/>
            <w:vAlign w:val="bottom"/>
            <w:tcBorders>
              <w:right w:val="single" w:sz="8" w:color="auto"/>
            </w:tcBorders>
          </w:tcPr>
          <w:p>
            <w:pPr>
              <w:jc w:val="right"/>
              <w:ind w:right="2361"/>
              <w:spacing w:after="0"/>
              <w:rPr>
                <w:sz w:val="20"/>
                <w:szCs w:val="20"/>
                <w:color w:val="auto"/>
              </w:rPr>
            </w:pPr>
            <w:r>
              <w:rPr>
                <w:rFonts w:ascii="Times New Roman" w:cs="Times New Roman" w:eastAsia="Times New Roman" w:hAnsi="Times New Roman"/>
                <w:sz w:val="20"/>
                <w:szCs w:val="20"/>
                <w:b w:val="1"/>
                <w:bCs w:val="1"/>
                <w:color w:val="auto"/>
              </w:rPr>
              <w:t>to Vest</w:t>
            </w:r>
          </w:p>
        </w:tc>
      </w:tr>
      <w:tr>
        <w:trPr>
          <w:trHeight w:val="34"/>
        </w:trPr>
        <w:tc>
          <w:tcPr>
            <w:tcW w:w="234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3920" w:type="dxa"/>
            <w:vAlign w:val="bottom"/>
            <w:tcBorders>
              <w:bottom w:val="single" w:sz="8" w:color="auto"/>
              <w:right w:val="single" w:sz="8" w:color="auto"/>
            </w:tcBorders>
          </w:tcPr>
          <w:p>
            <w:pPr>
              <w:spacing w:after="0"/>
              <w:rPr>
                <w:sz w:val="3"/>
                <w:szCs w:val="3"/>
                <w:color w:val="auto"/>
              </w:rPr>
            </w:pPr>
          </w:p>
        </w:tc>
      </w:tr>
      <w:tr>
        <w:trPr>
          <w:trHeight w:val="256"/>
        </w:trPr>
        <w:tc>
          <w:tcPr>
            <w:tcW w:w="2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Maximum</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160% or More</w:t>
            </w:r>
          </w:p>
        </w:tc>
        <w:tc>
          <w:tcPr>
            <w:tcW w:w="3920" w:type="dxa"/>
            <w:vAlign w:val="bottom"/>
            <w:tcBorders>
              <w:right w:val="single" w:sz="8" w:color="auto"/>
            </w:tcBorders>
          </w:tcPr>
          <w:p>
            <w:pPr>
              <w:jc w:val="center"/>
              <w:ind w:left="721"/>
              <w:spacing w:after="0"/>
              <w:rPr>
                <w:sz w:val="20"/>
                <w:szCs w:val="20"/>
                <w:color w:val="auto"/>
              </w:rPr>
            </w:pPr>
            <w:r>
              <w:rPr>
                <w:rFonts w:ascii="Times New Roman" w:cs="Times New Roman" w:eastAsia="Times New Roman" w:hAnsi="Times New Roman"/>
                <w:sz w:val="20"/>
                <w:szCs w:val="20"/>
                <w:color w:val="auto"/>
                <w:w w:val="98"/>
              </w:rPr>
              <w:t>200%</w:t>
            </w:r>
          </w:p>
        </w:tc>
      </w:tr>
      <w:tr>
        <w:trPr>
          <w:trHeight w:val="21"/>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3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Target</w:t>
            </w:r>
          </w:p>
        </w:tc>
        <w:tc>
          <w:tcPr>
            <w:tcW w:w="2520" w:type="dxa"/>
            <w:vAlign w:val="bottom"/>
            <w:tcBorders>
              <w:right w:val="single" w:sz="8" w:color="auto"/>
            </w:tcBorders>
          </w:tcPr>
          <w:p>
            <w:pPr>
              <w:jc w:val="right"/>
              <w:ind w:right="941"/>
              <w:spacing w:after="0"/>
              <w:rPr>
                <w:sz w:val="20"/>
                <w:szCs w:val="20"/>
                <w:color w:val="auto"/>
              </w:rPr>
            </w:pPr>
            <w:r>
              <w:rPr>
                <w:rFonts w:ascii="Times New Roman" w:cs="Times New Roman" w:eastAsia="Times New Roman" w:hAnsi="Times New Roman"/>
                <w:sz w:val="20"/>
                <w:szCs w:val="20"/>
                <w:color w:val="auto"/>
              </w:rPr>
              <w:t>120%</w:t>
            </w:r>
          </w:p>
        </w:tc>
        <w:tc>
          <w:tcPr>
            <w:tcW w:w="3920" w:type="dxa"/>
            <w:vAlign w:val="bottom"/>
            <w:tcBorders>
              <w:right w:val="single" w:sz="8" w:color="auto"/>
            </w:tcBorders>
          </w:tcPr>
          <w:p>
            <w:pPr>
              <w:jc w:val="center"/>
              <w:ind w:left="721"/>
              <w:spacing w:after="0"/>
              <w:rPr>
                <w:sz w:val="20"/>
                <w:szCs w:val="20"/>
                <w:color w:val="auto"/>
              </w:rPr>
            </w:pPr>
            <w:r>
              <w:rPr>
                <w:rFonts w:ascii="Times New Roman" w:cs="Times New Roman" w:eastAsia="Times New Roman" w:hAnsi="Times New Roman"/>
                <w:sz w:val="20"/>
                <w:szCs w:val="20"/>
                <w:color w:val="auto"/>
                <w:w w:val="98"/>
              </w:rPr>
              <w:t>100%</w:t>
            </w:r>
          </w:p>
        </w:tc>
      </w:tr>
      <w:tr>
        <w:trPr>
          <w:trHeight w:val="21"/>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3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Threshold</w:t>
            </w:r>
          </w:p>
        </w:tc>
        <w:tc>
          <w:tcPr>
            <w:tcW w:w="2520" w:type="dxa"/>
            <w:vAlign w:val="bottom"/>
            <w:tcBorders>
              <w:right w:val="single" w:sz="8" w:color="auto"/>
            </w:tcBorders>
          </w:tcPr>
          <w:p>
            <w:pPr>
              <w:jc w:val="right"/>
              <w:ind w:right="981"/>
              <w:spacing w:after="0"/>
              <w:rPr>
                <w:sz w:val="20"/>
                <w:szCs w:val="20"/>
                <w:color w:val="auto"/>
              </w:rPr>
            </w:pPr>
            <w:r>
              <w:rPr>
                <w:rFonts w:ascii="Times New Roman" w:cs="Times New Roman" w:eastAsia="Times New Roman" w:hAnsi="Times New Roman"/>
                <w:sz w:val="20"/>
                <w:szCs w:val="20"/>
                <w:color w:val="auto"/>
              </w:rPr>
              <w:t>90%</w:t>
            </w:r>
          </w:p>
        </w:tc>
        <w:tc>
          <w:tcPr>
            <w:tcW w:w="3920" w:type="dxa"/>
            <w:vAlign w:val="bottom"/>
            <w:tcBorders>
              <w:right w:val="single" w:sz="8" w:color="auto"/>
            </w:tcBorders>
          </w:tcPr>
          <w:p>
            <w:pPr>
              <w:jc w:val="center"/>
              <w:ind w:left="721"/>
              <w:spacing w:after="0"/>
              <w:rPr>
                <w:sz w:val="20"/>
                <w:szCs w:val="20"/>
                <w:color w:val="auto"/>
              </w:rPr>
            </w:pPr>
            <w:r>
              <w:rPr>
                <w:rFonts w:ascii="Times New Roman" w:cs="Times New Roman" w:eastAsia="Times New Roman" w:hAnsi="Times New Roman"/>
                <w:sz w:val="20"/>
                <w:szCs w:val="20"/>
                <w:color w:val="auto"/>
              </w:rPr>
              <w:t>50%</w:t>
            </w:r>
          </w:p>
        </w:tc>
      </w:tr>
      <w:tr>
        <w:trPr>
          <w:trHeight w:val="21"/>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3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Below Threshold</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Below 90%</w:t>
            </w:r>
          </w:p>
        </w:tc>
        <w:tc>
          <w:tcPr>
            <w:tcW w:w="3920" w:type="dxa"/>
            <w:vAlign w:val="bottom"/>
            <w:tcBorders>
              <w:right w:val="single" w:sz="8" w:color="auto"/>
            </w:tcBorders>
          </w:tcPr>
          <w:p>
            <w:pPr>
              <w:jc w:val="right"/>
              <w:ind w:right="2161"/>
              <w:spacing w:after="0"/>
              <w:rPr>
                <w:sz w:val="20"/>
                <w:szCs w:val="20"/>
                <w:color w:val="auto"/>
              </w:rPr>
            </w:pPr>
            <w:r>
              <w:rPr>
                <w:rFonts w:ascii="Times New Roman" w:cs="Times New Roman" w:eastAsia="Times New Roman" w:hAnsi="Times New Roman"/>
                <w:sz w:val="20"/>
                <w:szCs w:val="20"/>
                <w:color w:val="auto"/>
              </w:rPr>
              <w:t>0%</w:t>
            </w:r>
          </w:p>
        </w:tc>
      </w:tr>
      <w:tr>
        <w:trPr>
          <w:trHeight w:val="34"/>
        </w:trPr>
        <w:tc>
          <w:tcPr>
            <w:tcW w:w="234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39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371" w:lineRule="exact"/>
        <w:rPr>
          <w:sz w:val="20"/>
          <w:szCs w:val="20"/>
          <w:color w:val="auto"/>
        </w:rPr>
      </w:pPr>
    </w:p>
    <w:p>
      <w:pPr>
        <w:ind w:left="880" w:hanging="377"/>
        <w:spacing w:after="0"/>
        <w:tabs>
          <w:tab w:leader="none" w:pos="8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Three-year ROAA</w:t>
      </w:r>
      <w:r>
        <w:rPr>
          <w:rFonts w:ascii="Times New Roman" w:cs="Times New Roman" w:eastAsia="Times New Roman" w:hAnsi="Times New Roman"/>
          <w:sz w:val="20"/>
          <w:szCs w:val="20"/>
          <w:color w:val="auto"/>
        </w:rPr>
        <w:t>” means the average ROAA for the three calendar years in the Performance Period.</w:t>
      </w:r>
    </w:p>
    <w:p>
      <w:pPr>
        <w:spacing w:after="0" w:line="233" w:lineRule="exact"/>
        <w:rPr>
          <w:rFonts w:ascii="Times New Roman" w:cs="Times New Roman" w:eastAsia="Times New Roman" w:hAnsi="Times New Roman"/>
          <w:sz w:val="22"/>
          <w:szCs w:val="22"/>
          <w:color w:val="auto"/>
        </w:rPr>
      </w:pPr>
    </w:p>
    <w:p>
      <w:pPr>
        <w:ind w:left="900" w:right="20" w:hanging="397"/>
        <w:spacing w:after="0" w:line="245" w:lineRule="auto"/>
        <w:tabs>
          <w:tab w:leader="none" w:pos="88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ROAA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Return on Average Assets</w:t>
      </w:r>
      <w:r>
        <w:rPr>
          <w:rFonts w:ascii="Times New Roman" w:cs="Times New Roman" w:eastAsia="Times New Roman" w:hAnsi="Times New Roman"/>
          <w:sz w:val="20"/>
          <w:szCs w:val="20"/>
          <w:color w:val="auto"/>
        </w:rPr>
        <w:t>” means return on average assets for the applicable calendar year, as determined in accordance with generally accepted accounting principles.</w:t>
      </w:r>
    </w:p>
    <w:p>
      <w:pPr>
        <w:spacing w:after="0" w:line="222" w:lineRule="exact"/>
        <w:rPr>
          <w:rFonts w:ascii="Times New Roman" w:cs="Times New Roman" w:eastAsia="Times New Roman" w:hAnsi="Times New Roman"/>
          <w:sz w:val="22"/>
          <w:szCs w:val="22"/>
          <w:color w:val="auto"/>
        </w:rPr>
      </w:pPr>
    </w:p>
    <w:p>
      <w:pPr>
        <w:ind w:left="1420" w:hanging="853"/>
        <w:spacing w:after="0"/>
        <w:tabs>
          <w:tab w:leader="none" w:pos="142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Three-year ROATCE Performance Metric</w:t>
      </w:r>
      <w:r>
        <w:rPr>
          <w:rFonts w:ascii="Times New Roman" w:cs="Times New Roman" w:eastAsia="Times New Roman" w:hAnsi="Times New Roman"/>
          <w:sz w:val="20"/>
          <w:szCs w:val="20"/>
          <w:color w:val="auto"/>
        </w:rPr>
        <w:t>. Subject to the fulfillment of the Time-Vesting Condition:</w:t>
      </w:r>
    </w:p>
    <w:p>
      <w:pPr>
        <w:spacing w:after="0" w:line="269" w:lineRule="exact"/>
        <w:rPr>
          <w:rFonts w:ascii="Times New Roman" w:cs="Times New Roman" w:eastAsia="Times New Roman" w:hAnsi="Times New Roman"/>
          <w:sz w:val="20"/>
          <w:szCs w:val="20"/>
          <w:color w:val="auto"/>
        </w:rPr>
      </w:pPr>
    </w:p>
    <w:p>
      <w:pPr>
        <w:ind w:left="900" w:right="20" w:hanging="398"/>
        <w:spacing w:after="0" w:line="245" w:lineRule="auto"/>
        <w:tabs>
          <w:tab w:leader="none" w:pos="89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1/3 of the Target Units may become vested based on the achievement of the Company’s Three-year ROATCE performance metric (the “</w:t>
      </w:r>
      <w:r>
        <w:rPr>
          <w:rFonts w:ascii="Times New Roman" w:cs="Times New Roman" w:eastAsia="Times New Roman" w:hAnsi="Times New Roman"/>
          <w:sz w:val="20"/>
          <w:szCs w:val="20"/>
          <w:u w:val="single" w:color="auto"/>
          <w:color w:val="auto"/>
        </w:rPr>
        <w:t>Target ROATCE Units</w:t>
      </w:r>
      <w:r>
        <w:rPr>
          <w:rFonts w:ascii="Times New Roman" w:cs="Times New Roman" w:eastAsia="Times New Roman" w:hAnsi="Times New Roman"/>
          <w:sz w:val="20"/>
          <w:szCs w:val="20"/>
          <w:color w:val="auto"/>
        </w:rPr>
        <w:t>”), measured at the end of the Performance Period as follows:</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Performance Level</w:t>
            </w:r>
          </w:p>
        </w:tc>
        <w:tc>
          <w:tcPr>
            <w:tcW w:w="252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0"/>
                <w:szCs w:val="20"/>
                <w:b w:val="1"/>
                <w:bCs w:val="1"/>
                <w:color w:val="auto"/>
              </w:rPr>
              <w:t>Three-year ROATCE</w:t>
            </w:r>
          </w:p>
        </w:tc>
        <w:tc>
          <w:tcPr>
            <w:tcW w:w="394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Percentage of Target ROATCE Units</w:t>
            </w:r>
          </w:p>
        </w:tc>
      </w:tr>
      <w:tr>
        <w:trPr>
          <w:trHeight w:val="262"/>
        </w:trPr>
        <w:tc>
          <w:tcPr>
            <w:tcW w:w="2320" w:type="dxa"/>
            <w:vAlign w:val="bottom"/>
            <w:tcBorders>
              <w:left w:val="single" w:sz="8" w:color="auto"/>
              <w:right w:val="single" w:sz="8" w:color="auto"/>
            </w:tcBorders>
          </w:tcPr>
          <w:p>
            <w:pPr>
              <w:spacing w:after="0"/>
              <w:rPr>
                <w:sz w:val="22"/>
                <w:szCs w:val="22"/>
                <w:color w:val="auto"/>
              </w:rPr>
            </w:pPr>
          </w:p>
        </w:tc>
        <w:tc>
          <w:tcPr>
            <w:tcW w:w="2520" w:type="dxa"/>
            <w:vAlign w:val="bottom"/>
            <w:tcBorders>
              <w:right w:val="single" w:sz="8" w:color="auto"/>
            </w:tcBorders>
          </w:tcPr>
          <w:p>
            <w:pPr>
              <w:spacing w:after="0"/>
              <w:rPr>
                <w:sz w:val="22"/>
                <w:szCs w:val="22"/>
                <w:color w:val="auto"/>
              </w:rPr>
            </w:pPr>
          </w:p>
        </w:tc>
        <w:tc>
          <w:tcPr>
            <w:tcW w:w="39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20"/>
                <w:szCs w:val="20"/>
                <w:b w:val="1"/>
                <w:bCs w:val="1"/>
                <w:color w:val="auto"/>
              </w:rPr>
              <w:t>Eligible to Vest</w:t>
            </w:r>
          </w:p>
        </w:tc>
      </w:tr>
      <w:tr>
        <w:trPr>
          <w:trHeight w:val="35"/>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394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620"/>
          </w:cols>
          <w:pgMar w:left="840" w:top="1413" w:right="439" w:bottom="1440" w:gutter="0" w:footer="0" w:header="0"/>
        </w:sectPr>
      </w:pPr>
    </w:p>
    <w:bookmarkStart w:id="117" w:name="page118"/>
    <w:bookmarkEnd w:id="117"/>
    <w:p>
      <w:pPr>
        <w:spacing w:after="0" w:line="3" w:lineRule="exact"/>
        <w:rPr>
          <w:sz w:val="20"/>
          <w:szCs w:val="20"/>
          <w:color w:val="auto"/>
        </w:rPr>
      </w:pPr>
    </w:p>
    <w:tbl>
      <w:tblPr>
        <w:tblLayout w:type="fixed"/>
        <w:tblInd w:w="90" w:type="dxa"/>
        <w:tblCellMar>
          <w:top w:w="0" w:type="dxa"/>
          <w:left w:w="0" w:type="dxa"/>
          <w:bottom w:w="0" w:type="dxa"/>
          <w:right w:w="0" w:type="dxa"/>
        </w:tblCellMar>
      </w:tblPr>
      <w:tr>
        <w:trPr>
          <w:trHeight w:val="276"/>
        </w:trPr>
        <w:tc>
          <w:tcPr>
            <w:tcW w:w="23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Maximum</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 or More</w:t>
            </w:r>
          </w:p>
        </w:tc>
        <w:tc>
          <w:tcPr>
            <w:tcW w:w="3940" w:type="dxa"/>
            <w:vAlign w:val="bottom"/>
            <w:tcBorders>
              <w:top w:val="single" w:sz="8" w:color="auto"/>
              <w:right w:val="single" w:sz="8" w:color="auto"/>
            </w:tcBorders>
          </w:tcPr>
          <w:p>
            <w:pPr>
              <w:jc w:val="center"/>
              <w:ind w:left="741"/>
              <w:spacing w:after="0"/>
              <w:rPr>
                <w:sz w:val="20"/>
                <w:szCs w:val="20"/>
                <w:color w:val="auto"/>
              </w:rPr>
            </w:pPr>
            <w:r>
              <w:rPr>
                <w:rFonts w:ascii="Times New Roman" w:cs="Times New Roman" w:eastAsia="Times New Roman" w:hAnsi="Times New Roman"/>
                <w:sz w:val="20"/>
                <w:szCs w:val="20"/>
                <w:color w:val="auto"/>
                <w:w w:val="98"/>
              </w:rPr>
              <w:t>200%</w:t>
            </w:r>
          </w:p>
        </w:tc>
      </w:tr>
      <w:tr>
        <w:trPr>
          <w:trHeight w:val="21"/>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39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Target</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14%</w:t>
            </w:r>
          </w:p>
        </w:tc>
        <w:tc>
          <w:tcPr>
            <w:tcW w:w="3940" w:type="dxa"/>
            <w:vAlign w:val="bottom"/>
            <w:tcBorders>
              <w:right w:val="single" w:sz="8" w:color="auto"/>
            </w:tcBorders>
          </w:tcPr>
          <w:p>
            <w:pPr>
              <w:jc w:val="center"/>
              <w:ind w:left="741"/>
              <w:spacing w:after="0"/>
              <w:rPr>
                <w:sz w:val="20"/>
                <w:szCs w:val="20"/>
                <w:color w:val="auto"/>
              </w:rPr>
            </w:pPr>
            <w:r>
              <w:rPr>
                <w:rFonts w:ascii="Times New Roman" w:cs="Times New Roman" w:eastAsia="Times New Roman" w:hAnsi="Times New Roman"/>
                <w:sz w:val="20"/>
                <w:szCs w:val="20"/>
                <w:color w:val="auto"/>
                <w:w w:val="98"/>
              </w:rPr>
              <w:t>100%</w:t>
            </w:r>
          </w:p>
        </w:tc>
      </w:tr>
      <w:tr>
        <w:trPr>
          <w:trHeight w:val="21"/>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39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Threshold</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11%</w:t>
            </w:r>
          </w:p>
        </w:tc>
        <w:tc>
          <w:tcPr>
            <w:tcW w:w="3940" w:type="dxa"/>
            <w:vAlign w:val="bottom"/>
            <w:tcBorders>
              <w:right w:val="single" w:sz="8" w:color="auto"/>
            </w:tcBorders>
          </w:tcPr>
          <w:p>
            <w:pPr>
              <w:jc w:val="center"/>
              <w:ind w:left="741"/>
              <w:spacing w:after="0"/>
              <w:rPr>
                <w:sz w:val="20"/>
                <w:szCs w:val="20"/>
                <w:color w:val="auto"/>
              </w:rPr>
            </w:pPr>
            <w:r>
              <w:rPr>
                <w:rFonts w:ascii="Times New Roman" w:cs="Times New Roman" w:eastAsia="Times New Roman" w:hAnsi="Times New Roman"/>
                <w:sz w:val="20"/>
                <w:szCs w:val="20"/>
                <w:color w:val="auto"/>
              </w:rPr>
              <w:t>50%</w:t>
            </w:r>
          </w:p>
        </w:tc>
      </w:tr>
      <w:tr>
        <w:trPr>
          <w:trHeight w:val="35"/>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3940" w:type="dxa"/>
            <w:vAlign w:val="bottom"/>
            <w:tcBorders>
              <w:bottom w:val="single" w:sz="8" w:color="auto"/>
              <w:right w:val="single" w:sz="8" w:color="auto"/>
            </w:tcBorders>
          </w:tcPr>
          <w:p>
            <w:pPr>
              <w:spacing w:after="0"/>
              <w:rPr>
                <w:sz w:val="3"/>
                <w:szCs w:val="3"/>
                <w:color w:val="auto"/>
              </w:rPr>
            </w:pPr>
          </w:p>
        </w:tc>
      </w:tr>
      <w:tr>
        <w:trPr>
          <w:trHeight w:val="256"/>
        </w:trPr>
        <w:tc>
          <w:tcPr>
            <w:tcW w:w="2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Below Threshold</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Below 11%</w:t>
            </w:r>
          </w:p>
        </w:tc>
        <w:tc>
          <w:tcPr>
            <w:tcW w:w="3940" w:type="dxa"/>
            <w:vAlign w:val="bottom"/>
            <w:tcBorders>
              <w:right w:val="single" w:sz="8" w:color="auto"/>
            </w:tcBorders>
          </w:tcPr>
          <w:p>
            <w:pPr>
              <w:jc w:val="right"/>
              <w:ind w:right="2181"/>
              <w:spacing w:after="0"/>
              <w:rPr>
                <w:sz w:val="20"/>
                <w:szCs w:val="20"/>
                <w:color w:val="auto"/>
              </w:rPr>
            </w:pPr>
            <w:r>
              <w:rPr>
                <w:rFonts w:ascii="Times New Roman" w:cs="Times New Roman" w:eastAsia="Times New Roman" w:hAnsi="Times New Roman"/>
                <w:sz w:val="20"/>
                <w:szCs w:val="20"/>
                <w:color w:val="auto"/>
              </w:rPr>
              <w:t>0%</w:t>
            </w:r>
          </w:p>
        </w:tc>
      </w:tr>
      <w:tr>
        <w:trPr>
          <w:trHeight w:val="34"/>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39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371" w:lineRule="exact"/>
        <w:rPr>
          <w:sz w:val="20"/>
          <w:szCs w:val="20"/>
          <w:color w:val="auto"/>
        </w:rPr>
      </w:pPr>
    </w:p>
    <w:p>
      <w:pPr>
        <w:ind w:left="980" w:right="20" w:hanging="397"/>
        <w:spacing w:after="0" w:line="245" w:lineRule="auto"/>
        <w:tabs>
          <w:tab w:leader="none" w:pos="97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Three-year ROATCE</w:t>
      </w:r>
      <w:r>
        <w:rPr>
          <w:rFonts w:ascii="Times New Roman" w:cs="Times New Roman" w:eastAsia="Times New Roman" w:hAnsi="Times New Roman"/>
          <w:sz w:val="20"/>
          <w:szCs w:val="20"/>
          <w:color w:val="auto"/>
        </w:rPr>
        <w:t>” (or three-year return on average tangible common equity) means the average ROATCE for the three calendar years in the Performance Period.</w:t>
      </w:r>
    </w:p>
    <w:p>
      <w:pPr>
        <w:spacing w:after="0" w:line="222" w:lineRule="exact"/>
        <w:rPr>
          <w:rFonts w:ascii="Times New Roman" w:cs="Times New Roman" w:eastAsia="Times New Roman" w:hAnsi="Times New Roman"/>
          <w:sz w:val="22"/>
          <w:szCs w:val="22"/>
          <w:color w:val="auto"/>
        </w:rPr>
      </w:pPr>
    </w:p>
    <w:p>
      <w:pPr>
        <w:ind w:left="980" w:right="20" w:hanging="398"/>
        <w:spacing w:after="0" w:line="245" w:lineRule="auto"/>
        <w:tabs>
          <w:tab w:leader="none" w:pos="96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“ROATCE” means the Company’s net income for the applicable calendar year, adjusted for good will and core deposit intangibles, as a percent of average tangible common equity for the applicable calendar year.</w:t>
      </w:r>
    </w:p>
    <w:p>
      <w:pPr>
        <w:spacing w:after="0" w:line="222" w:lineRule="exact"/>
        <w:rPr>
          <w:rFonts w:ascii="Times New Roman" w:cs="Times New Roman" w:eastAsia="Times New Roman" w:hAnsi="Times New Roman"/>
          <w:sz w:val="22"/>
          <w:szCs w:val="22"/>
          <w:color w:val="auto"/>
        </w:rPr>
      </w:pPr>
    </w:p>
    <w:p>
      <w:pPr>
        <w:jc w:val="both"/>
        <w:ind w:right="20" w:firstLine="647"/>
        <w:spacing w:after="0" w:line="258" w:lineRule="auto"/>
        <w:tabs>
          <w:tab w:leader="none" w:pos="149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have the authority to make appropriate adjustments in its discretion with respect to the determination of Three-year ROAA and Three-year ROATCE due to the impact of non-recurring events or extraordinary or special items, such as new legislation, changes in accounting principles, changes to capital structure, mergers, acquisitions, divestitures, and reorganizations.</w:t>
      </w:r>
    </w:p>
    <w:p>
      <w:pPr>
        <w:spacing w:after="0" w:line="212" w:lineRule="exact"/>
        <w:rPr>
          <w:rFonts w:ascii="Times New Roman" w:cs="Times New Roman" w:eastAsia="Times New Roman" w:hAnsi="Times New Roman"/>
          <w:sz w:val="20"/>
          <w:szCs w:val="20"/>
          <w:color w:val="auto"/>
        </w:rPr>
      </w:pPr>
    </w:p>
    <w:p>
      <w:pPr>
        <w:jc w:val="both"/>
        <w:ind w:right="20" w:firstLine="647"/>
        <w:spacing w:after="0" w:line="261" w:lineRule="auto"/>
        <w:tabs>
          <w:tab w:leader="none" w:pos="1502"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Straight-line interpolation will be used to determine the percentage of Target Units that become vested for each performance metric when the applicable performance falls between the “Threshold” and “Target” or “Target” and “Maximum” performance levels. Any fractional Share will be rounded to the next whole Share.</w:t>
      </w:r>
    </w:p>
    <w:p>
      <w:pPr>
        <w:spacing w:after="0" w:line="20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(f)Except as otherwise provided in Section 3 below, the Committee shall determine the number of PRSUs that become vested pursuant to this Section 2, if any, as soon as administratively practicable following the end of the Performance Period and one Share will be delivered with respect to each such vested PRSU after the Performance Period, but in no event later than March 15, 2029. Any PRSUs that do not become vested shall be forfeited automatically.</w:t>
      </w:r>
    </w:p>
    <w:p>
      <w:pPr>
        <w:spacing w:after="0" w:line="209" w:lineRule="exact"/>
        <w:rPr>
          <w:sz w:val="20"/>
          <w:szCs w:val="20"/>
          <w:color w:val="auto"/>
        </w:rPr>
      </w:pPr>
    </w:p>
    <w:p>
      <w:pPr>
        <w:ind w:left="980" w:hanging="575"/>
        <w:spacing w:after="0"/>
        <w:tabs>
          <w:tab w:leader="none" w:pos="9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Cessation of Service During Performance Period</w:t>
      </w:r>
      <w:r>
        <w:rPr>
          <w:rFonts w:ascii="Times New Roman" w:cs="Times New Roman" w:eastAsia="Times New Roman" w:hAnsi="Times New Roman"/>
          <w:sz w:val="20"/>
          <w:szCs w:val="20"/>
          <w:color w:val="auto"/>
        </w:rPr>
        <w:t>.</w:t>
      </w:r>
    </w:p>
    <w:p>
      <w:pPr>
        <w:spacing w:after="0" w:line="273" w:lineRule="exact"/>
        <w:rPr>
          <w:rFonts w:ascii="Times New Roman" w:cs="Times New Roman" w:eastAsia="Times New Roman" w:hAnsi="Times New Roman"/>
          <w:sz w:val="20"/>
          <w:szCs w:val="20"/>
          <w:color w:val="auto"/>
        </w:rPr>
      </w:pPr>
    </w:p>
    <w:p>
      <w:pPr>
        <w:jc w:val="both"/>
        <w:ind w:firstLine="648"/>
        <w:spacing w:after="0" w:line="253" w:lineRule="auto"/>
        <w:tabs>
          <w:tab w:leader="none" w:pos="150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below, upon the cessation of the Participant’s service with the Company during the Performance Period for any reason, all of the PRSUs will be forfeited automatically and the Participant will have no further rights hereunder. Notwithstanding anything in the Participant’s employment agreement to the contrary, the treatment of this Award upon the Participant’s cessation of service with the Company will be governed exclusively by the terms and conditions in this Award and the Plan. Any provisions of a Participant’s employment agreement that provide for additional vesting in connection with a Participant’s cessation of service shall not apply to this Award.</w:t>
      </w:r>
    </w:p>
    <w:p>
      <w:pPr>
        <w:spacing w:after="0" w:line="151" w:lineRule="exact"/>
        <w:rPr>
          <w:rFonts w:ascii="Times New Roman" w:cs="Times New Roman" w:eastAsia="Times New Roman" w:hAnsi="Times New Roman"/>
          <w:sz w:val="20"/>
          <w:szCs w:val="20"/>
          <w:color w:val="auto"/>
        </w:rPr>
      </w:pPr>
    </w:p>
    <w:p>
      <w:pPr>
        <w:jc w:val="both"/>
        <w:ind w:firstLine="648"/>
        <w:spacing w:after="0" w:line="261" w:lineRule="auto"/>
        <w:tabs>
          <w:tab w:leader="none" w:pos="15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Participant’s service ceases due to the Participant’s death during the Performance Period, the Pro Rata Target Units will vest. Any remaining PRSUs shall be forfeited automatically upon the Participant’s death. One Share will be delivered with respect to each vested PRSU within 60 days of the date of death.</w:t>
      </w:r>
    </w:p>
    <w:p>
      <w:pPr>
        <w:spacing w:after="0" w:line="140" w:lineRule="exact"/>
        <w:rPr>
          <w:rFonts w:ascii="Times New Roman" w:cs="Times New Roman" w:eastAsia="Times New Roman" w:hAnsi="Times New Roman"/>
          <w:sz w:val="20"/>
          <w:szCs w:val="20"/>
          <w:color w:val="auto"/>
        </w:rPr>
      </w:pPr>
    </w:p>
    <w:p>
      <w:pPr>
        <w:ind w:right="20" w:firstLine="648"/>
        <w:spacing w:after="0" w:line="269" w:lineRule="auto"/>
        <w:tabs>
          <w:tab w:leader="none" w:pos="150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Participant’s service ceases due to the Participant’s Disability during the Performance Period, then subject to satisfaction of the Release Requirement, the Pro Rata Target rTSR Units, Pro</w:t>
      </w:r>
    </w:p>
    <w:p>
      <w:pPr>
        <w:sectPr>
          <w:pgSz w:w="11900" w:h="16838" w:orient="portrait"/>
          <w:cols w:equalWidth="0" w:num="1">
            <w:col w:w="10700"/>
          </w:cols>
          <w:pgMar w:left="760" w:top="1440" w:right="439" w:bottom="1440" w:gutter="0" w:footer="0" w:header="0"/>
        </w:sectPr>
      </w:pPr>
    </w:p>
    <w:bookmarkStart w:id="118" w:name="page119"/>
    <w:bookmarkEnd w:id="118"/>
    <w:p>
      <w:pPr>
        <w:jc w:val="both"/>
        <w:spacing w:after="0" w:line="254" w:lineRule="auto"/>
        <w:rPr>
          <w:sz w:val="20"/>
          <w:szCs w:val="20"/>
          <w:color w:val="auto"/>
        </w:rPr>
      </w:pPr>
      <w:r>
        <w:rPr>
          <w:rFonts w:ascii="Times New Roman" w:cs="Times New Roman" w:eastAsia="Times New Roman" w:hAnsi="Times New Roman"/>
          <w:sz w:val="20"/>
          <w:szCs w:val="20"/>
          <w:color w:val="auto"/>
        </w:rPr>
        <w:t>Rata Target ROAA Units and Pro Rata Target ROATCE Units shall remain outstanding until the end of the Performance Period, and be eligible to vest and be settled in accordance with Section 2. For the avoidance of doubt, each reference in Section 2 to the number of Target Units eligible to vest pursuant to this Section 3(c) shall be replaced with the appropriate reference to the number of Pro Rata Target Units eligible to vest. Any remaining PRSUs shall be forfeited automatically.</w:t>
      </w:r>
    </w:p>
    <w:p>
      <w:pPr>
        <w:spacing w:after="0" w:line="147" w:lineRule="exact"/>
        <w:rPr>
          <w:sz w:val="20"/>
          <w:szCs w:val="20"/>
          <w:color w:val="auto"/>
        </w:rPr>
      </w:pPr>
    </w:p>
    <w:p>
      <w:pPr>
        <w:jc w:val="both"/>
        <w:ind w:firstLine="647"/>
        <w:spacing w:after="0" w:line="253" w:lineRule="auto"/>
        <w:tabs>
          <w:tab w:leader="none" w:pos="149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Participant’s service ceases due to the Participant’s Retirement on or after the six month anniversary of the Grant Date and during the Performance Period, then subject to satisfaction of the Release Requirement, the Pro Rata Target rTSR Units, Pro Rata Target ROAA Units and Pro Rata Target ROATCE Units shall remain outstanding until the end of the Performance Period, and be eligible to vest and be settled in accordance with Section 2. For the avoidance of doubt, each reference in Section 2 to the number of Target Units eligible to vest pursuant to this Section 3(d) shall be replaced with the appropriate reference to the number of Pro Rata Target Units eligible to vest. Any remaining PRSUs shall be forfeited automatically.</w:t>
      </w:r>
    </w:p>
    <w:p>
      <w:pPr>
        <w:spacing w:after="0" w:line="151" w:lineRule="exact"/>
        <w:rPr>
          <w:rFonts w:ascii="Times New Roman" w:cs="Times New Roman" w:eastAsia="Times New Roman" w:hAnsi="Times New Roman"/>
          <w:sz w:val="20"/>
          <w:szCs w:val="20"/>
          <w:color w:val="auto"/>
        </w:rPr>
      </w:pPr>
    </w:p>
    <w:p>
      <w:pPr>
        <w:jc w:val="both"/>
        <w:ind w:firstLine="648"/>
        <w:spacing w:after="0" w:line="257" w:lineRule="auto"/>
        <w:tabs>
          <w:tab w:leader="none" w:pos="150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Participant’s service ceases due to a termination by the Company without Cause during the Performance Period, and such termination or resignation has occurred within two years following a Change in Control (a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then subject to satisfaction of the Release Requirement, the PRSUs shall remain outstanding until the end of the Performance Period, and be eligible to vest and be settled in accordance with Section 2, as though the Participant had remained in service with the Company through the Performance Period.</w:t>
      </w:r>
    </w:p>
    <w:p>
      <w:pPr>
        <w:spacing w:after="0" w:line="1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(f)Notwithstanding anything to the contrary herein, upon the cessation of the Participant’s service with the Company for Cause (or a resignation by the Participant at such time as the Company could have terminated the Participant’s service for Cause) at any time while the Award remains outstanding, all of the outstanding PRSUs (whether or not vested) will be forfeited automatically and the Participant will not receive any consideration hereunder.</w:t>
      </w:r>
    </w:p>
    <w:p>
      <w:pPr>
        <w:spacing w:after="0" w:line="145" w:lineRule="exact"/>
        <w:rPr>
          <w:sz w:val="20"/>
          <w:szCs w:val="20"/>
          <w:color w:val="auto"/>
        </w:rPr>
      </w:pPr>
    </w:p>
    <w:p>
      <w:pPr>
        <w:jc w:val="both"/>
        <w:ind w:firstLine="648"/>
        <w:spacing w:after="0" w:line="258" w:lineRule="auto"/>
        <w:tabs>
          <w:tab w:leader="none" w:pos="15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the vesting of any PRSUs and settlement of any amounts under this Section 3 are contingent upon the Participant’s continuing compliance with any restrictive covenants that are applicable to the Participant, including without limitation those included in the Participant’s employment agreement and/or Non-Disclosure and Restrictive Covenant Agreement, provided that this contingency is not prohibited by applicable law.</w:t>
      </w:r>
    </w:p>
    <w:p>
      <w:pPr>
        <w:spacing w:after="0" w:line="145" w:lineRule="exact"/>
        <w:rPr>
          <w:rFonts w:ascii="Times New Roman" w:cs="Times New Roman" w:eastAsia="Times New Roman" w:hAnsi="Times New Roman"/>
          <w:sz w:val="20"/>
          <w:szCs w:val="20"/>
          <w:color w:val="auto"/>
        </w:rPr>
      </w:pPr>
    </w:p>
    <w:p>
      <w:pPr>
        <w:ind w:left="960" w:hanging="314"/>
        <w:spacing w:after="0"/>
        <w:tabs>
          <w:tab w:leader="none" w:pos="9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w:t>
      </w:r>
    </w:p>
    <w:p>
      <w:pPr>
        <w:spacing w:after="0" w:line="269" w:lineRule="exact"/>
        <w:rPr>
          <w:rFonts w:ascii="Times New Roman" w:cs="Times New Roman" w:eastAsia="Times New Roman" w:hAnsi="Times New Roman"/>
          <w:sz w:val="20"/>
          <w:szCs w:val="20"/>
          <w:color w:val="auto"/>
        </w:rPr>
      </w:pPr>
    </w:p>
    <w:p>
      <w:pPr>
        <w:jc w:val="both"/>
        <w:ind w:left="-320" w:firstLine="1291"/>
        <w:spacing w:after="0" w:line="260" w:lineRule="auto"/>
        <w:tabs>
          <w:tab w:leader="none" w:pos="1504"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shall mean “Cause” or “Just Cause,” as defined in the Participant’s employment agreement with the Company or its Affiliate. If the Participant does not have an employment agreement with the Company or its Affiliate, or such employment agreement does not specifically define “Cause” or “Just Cause,” then “Cause” shall have the meaning prescribed in the Plan.</w:t>
      </w:r>
    </w:p>
    <w:p>
      <w:pPr>
        <w:spacing w:after="0" w:line="210" w:lineRule="exact"/>
        <w:rPr>
          <w:rFonts w:ascii="Times New Roman" w:cs="Times New Roman" w:eastAsia="Times New Roman" w:hAnsi="Times New Roman"/>
          <w:sz w:val="21"/>
          <w:szCs w:val="21"/>
          <w:color w:val="auto"/>
        </w:rPr>
      </w:pPr>
    </w:p>
    <w:p>
      <w:pPr>
        <w:jc w:val="both"/>
        <w:ind w:left="-320" w:firstLine="1291"/>
        <w:spacing w:after="0" w:line="242" w:lineRule="auto"/>
        <w:tabs>
          <w:tab w:leader="none" w:pos="151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have the meaning ascribed to such term in the Participant’s employment agreement with the Company or its Affiliate. If the Participant does not have an employment agreement with the Company or its Affiliate, or such employment agreement does not specifically define “Disability,” then “Disability” shall have the meaning prescribed in the Plan.</w:t>
      </w:r>
    </w:p>
    <w:p>
      <w:pPr>
        <w:spacing w:after="0" w:line="226" w:lineRule="exact"/>
        <w:rPr>
          <w:rFonts w:ascii="Times New Roman" w:cs="Times New Roman" w:eastAsia="Times New Roman" w:hAnsi="Times New Roman"/>
          <w:sz w:val="22"/>
          <w:szCs w:val="22"/>
          <w:color w:val="auto"/>
        </w:rPr>
      </w:pPr>
    </w:p>
    <w:p>
      <w:pPr>
        <w:jc w:val="both"/>
        <w:ind w:left="-320" w:firstLine="1291"/>
        <w:spacing w:after="0" w:line="248" w:lineRule="auto"/>
        <w:tabs>
          <w:tab w:leader="none" w:pos="151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Target Units</w:t>
      </w:r>
      <w:r>
        <w:rPr>
          <w:rFonts w:ascii="Times New Roman" w:cs="Times New Roman" w:eastAsia="Times New Roman" w:hAnsi="Times New Roman"/>
          <w:sz w:val="20"/>
          <w:szCs w:val="20"/>
          <w:color w:val="auto"/>
        </w:rPr>
        <w:t>” shall mean the Target Units multiplied by a fraction, the numerator of which is the number of days in the Performance Period through the Participant’s cessation of service and the denominator of which is the total number of days in the Performance Period.</w:t>
      </w:r>
    </w:p>
    <w:p>
      <w:pPr>
        <w:spacing w:after="0" w:line="221" w:lineRule="exact"/>
        <w:rPr>
          <w:rFonts w:ascii="Times New Roman" w:cs="Times New Roman" w:eastAsia="Times New Roman" w:hAnsi="Times New Roman"/>
          <w:sz w:val="22"/>
          <w:szCs w:val="22"/>
          <w:color w:val="auto"/>
        </w:rPr>
      </w:pPr>
    </w:p>
    <w:p>
      <w:pPr>
        <w:ind w:left="-320" w:firstLine="1292"/>
        <w:spacing w:after="0" w:line="245" w:lineRule="auto"/>
        <w:tabs>
          <w:tab w:leader="none" w:pos="1504"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Target rTSR Units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Pro Rata Target ROAA Units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 Rata Target ROATCE Units</w:t>
      </w:r>
      <w:r>
        <w:rPr>
          <w:rFonts w:ascii="Times New Roman" w:cs="Times New Roman" w:eastAsia="Times New Roman" w:hAnsi="Times New Roman"/>
          <w:sz w:val="20"/>
          <w:szCs w:val="20"/>
          <w:color w:val="auto"/>
        </w:rPr>
        <w:t>” shall in each case mean 1/3 of the Pro Rata Target Units.</w:t>
      </w:r>
    </w:p>
    <w:p>
      <w:pPr>
        <w:sectPr>
          <w:pgSz w:w="11900" w:h="16838" w:orient="portrait"/>
          <w:cols w:equalWidth="0" w:num="1">
            <w:col w:w="10700"/>
          </w:cols>
          <w:pgMar w:left="760" w:top="1413" w:right="439" w:bottom="1440" w:gutter="0" w:footer="0" w:header="0"/>
        </w:sectPr>
      </w:pPr>
    </w:p>
    <w:bookmarkStart w:id="119" w:name="page120"/>
    <w:bookmarkEnd w:id="119"/>
    <w:p>
      <w:pPr>
        <w:jc w:val="both"/>
        <w:ind w:left="-723" w:firstLine="1292"/>
        <w:spacing w:after="0" w:line="251" w:lineRule="auto"/>
        <w:tabs>
          <w:tab w:leader="none" w:pos="1109"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 Requirement</w:t>
      </w:r>
      <w:r>
        <w:rPr>
          <w:rFonts w:ascii="Times New Roman" w:cs="Times New Roman" w:eastAsia="Times New Roman" w:hAnsi="Times New Roman"/>
          <w:sz w:val="20"/>
          <w:szCs w:val="20"/>
          <w:color w:val="auto"/>
        </w:rPr>
        <w:t>” shall mean that, 45 days following the Participant’s cessation of service, the Participant (or the Participant’s personal representative, if applicable) has executed a general release of claims in favor of the Company and its affiliates in a form prescribed by the Company and such release has become irrevocable in accordance with its terms. If the Release Requirement has not been timely satisfied, then any PRSUs that would have otherwise become vested under Section 3 will be forfeited automatically and the Participant will have no further rights hereunder.</w:t>
      </w:r>
    </w:p>
    <w:p>
      <w:pPr>
        <w:spacing w:after="0" w:line="231" w:lineRule="exact"/>
        <w:rPr>
          <w:rFonts w:ascii="Times New Roman" w:cs="Times New Roman" w:eastAsia="Times New Roman" w:hAnsi="Times New Roman"/>
          <w:sz w:val="22"/>
          <w:szCs w:val="22"/>
          <w:color w:val="auto"/>
        </w:rPr>
      </w:pPr>
    </w:p>
    <w:p>
      <w:pPr>
        <w:jc w:val="both"/>
        <w:ind w:left="-723" w:firstLine="1292"/>
        <w:spacing w:after="0" w:line="251" w:lineRule="auto"/>
        <w:tabs>
          <w:tab w:leader="none" w:pos="1101"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shall mean the Participant’s cessation of service with the Company on or after the six month anniversary of the Grant Date for any reason (other than due to the Participant’s death, Disability, Change in Control Termination, a termination by the Company for Cause, or a resignation by the Participant at such time as the Company could have terminated the Participant’s service for Cause) after the Participant has (i) attained age 65 and (ii) has been in continuous service with the Company for at least five years.</w:t>
      </w:r>
    </w:p>
    <w:p>
      <w:pPr>
        <w:spacing w:after="0" w:line="213" w:lineRule="exact"/>
        <w:rPr>
          <w:rFonts w:ascii="Times New Roman" w:cs="Times New Roman" w:eastAsia="Times New Roman" w:hAnsi="Times New Roman"/>
          <w:sz w:val="22"/>
          <w:szCs w:val="22"/>
          <w:color w:val="auto"/>
        </w:rPr>
      </w:pPr>
    </w:p>
    <w:p>
      <w:pPr>
        <w:ind w:left="557" w:hanging="557"/>
        <w:spacing w:after="0"/>
        <w:tabs>
          <w:tab w:leader="none" w:pos="55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403" w:right="20" w:firstLine="647"/>
        <w:spacing w:after="0" w:line="261" w:lineRule="auto"/>
        <w:tabs>
          <w:tab w:leader="none" w:pos="1099"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of PRSUs constitutes an unfunded and unsecured obligation of the Company. The Participant shall not have any stockholder rights or privileges with respect to the Shares underlying the PRSUs, in each case, unless and until a PRSU becomes vested and a Share is delivered with respect thereto.</w:t>
      </w:r>
    </w:p>
    <w:p>
      <w:pPr>
        <w:spacing w:after="0" w:line="208" w:lineRule="exact"/>
        <w:rPr>
          <w:rFonts w:ascii="Times New Roman" w:cs="Times New Roman" w:eastAsia="Times New Roman" w:hAnsi="Times New Roman"/>
          <w:sz w:val="20"/>
          <w:szCs w:val="20"/>
          <w:color w:val="auto"/>
        </w:rPr>
      </w:pPr>
    </w:p>
    <w:p>
      <w:pPr>
        <w:jc w:val="both"/>
        <w:ind w:left="-403" w:right="20" w:firstLine="647"/>
        <w:spacing w:after="0" w:line="276" w:lineRule="auto"/>
        <w:tabs>
          <w:tab w:leader="none" w:pos="1097"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the death of the Participant, any amounts payable hereunder (if any) will be paid to the “Designated Beneficiary” as identified in the then-current group term life insurance policy maintained by the Company or its Affiliate. Notwithstanding the foregoing, if there is no such group term life insurance policy or there is such a group term life insurance policy but there is no “Designated Beneficiary,” then amounts payable hereunder (if any) will be paid to the Participant’s estate.</w:t>
      </w:r>
    </w:p>
    <w:p>
      <w:pPr>
        <w:spacing w:after="0" w:line="125" w:lineRule="exact"/>
        <w:rPr>
          <w:rFonts w:ascii="Times New Roman" w:cs="Times New Roman" w:eastAsia="Times New Roman" w:hAnsi="Times New Roman"/>
          <w:sz w:val="19"/>
          <w:szCs w:val="19"/>
          <w:color w:val="auto"/>
        </w:rPr>
      </w:pPr>
    </w:p>
    <w:p>
      <w:pPr>
        <w:jc w:val="both"/>
        <w:ind w:left="-323" w:firstLine="323"/>
        <w:spacing w:after="0" w:line="260" w:lineRule="auto"/>
        <w:tabs>
          <w:tab w:leader="none" w:pos="45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Dividends</w:t>
      </w:r>
      <w:r>
        <w:rPr>
          <w:rFonts w:ascii="Times New Roman" w:cs="Times New Roman" w:eastAsia="Times New Roman" w:hAnsi="Times New Roman"/>
          <w:sz w:val="20"/>
          <w:szCs w:val="20"/>
          <w:color w:val="auto"/>
        </w:rPr>
        <w:t>. If the Company declares and pays a cash dividend or distribution with respect to its Shares on or following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Date, any PRSUs with respect to which Shares have not been delivered (“</w:t>
      </w:r>
      <w:r>
        <w:rPr>
          <w:rFonts w:ascii="Times New Roman" w:cs="Times New Roman" w:eastAsia="Times New Roman" w:hAnsi="Times New Roman"/>
          <w:sz w:val="20"/>
          <w:szCs w:val="20"/>
          <w:u w:val="single" w:color="auto"/>
          <w:color w:val="auto"/>
        </w:rPr>
        <w:t>Outstanding Units</w:t>
      </w:r>
      <w:r>
        <w:rPr>
          <w:rFonts w:ascii="Times New Roman" w:cs="Times New Roman" w:eastAsia="Times New Roman" w:hAnsi="Times New Roman"/>
          <w:sz w:val="20"/>
          <w:szCs w:val="20"/>
          <w:color w:val="auto"/>
        </w:rPr>
        <w:t>”), whether vested or unvested, will be credited with an amount of cash equal to the value of such cash dividend or distribution. Additional cash credited under this Section 5 will be subject to the same vesting and settlement terms as the Outstanding Units to which such cash amount relates.</w:t>
      </w:r>
    </w:p>
    <w:p>
      <w:pPr>
        <w:spacing w:after="0" w:line="137" w:lineRule="exact"/>
        <w:rPr>
          <w:rFonts w:ascii="Times New Roman" w:cs="Times New Roman" w:eastAsia="Times New Roman" w:hAnsi="Times New Roman"/>
          <w:sz w:val="20"/>
          <w:szCs w:val="20"/>
          <w:color w:val="auto"/>
        </w:rPr>
      </w:pPr>
    </w:p>
    <w:p>
      <w:pPr>
        <w:jc w:val="both"/>
        <w:ind w:left="-323" w:firstLine="324"/>
        <w:spacing w:after="0" w:line="263" w:lineRule="auto"/>
        <w:tabs>
          <w:tab w:leader="none" w:pos="45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Restrictive Covenant Agreement. </w:t>
      </w:r>
      <w:r>
        <w:rPr>
          <w:rFonts w:ascii="Times New Roman" w:cs="Times New Roman" w:eastAsia="Times New Roman" w:hAnsi="Times New Roman"/>
          <w:sz w:val="20"/>
          <w:szCs w:val="20"/>
          <w:color w:val="auto"/>
        </w:rPr>
        <w:t>In consideration for the grant of the Award, the Participant agrees to execute the Non-Disclosure and Restrictive Covenant Agreement provided to the Participant and to comply with the provisions contained therein. The Award is granted contingent upon the Participant executing such Non-Disclosure and Restrictive Covenant Agreement.</w:t>
      </w:r>
    </w:p>
    <w:p>
      <w:pPr>
        <w:spacing w:after="0" w:line="134" w:lineRule="exact"/>
        <w:rPr>
          <w:rFonts w:ascii="Times New Roman" w:cs="Times New Roman" w:eastAsia="Times New Roman" w:hAnsi="Times New Roman"/>
          <w:sz w:val="20"/>
          <w:szCs w:val="20"/>
          <w:color w:val="auto"/>
        </w:rPr>
      </w:pPr>
    </w:p>
    <w:p>
      <w:pPr>
        <w:ind w:left="457" w:hanging="456"/>
        <w:spacing w:after="0"/>
        <w:tabs>
          <w:tab w:leader="none" w:pos="45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Non-Transferability of Award</w:t>
      </w:r>
      <w:r>
        <w:rPr>
          <w:rFonts w:ascii="Times New Roman" w:cs="Times New Roman" w:eastAsia="Times New Roman" w:hAnsi="Times New Roman"/>
          <w:sz w:val="20"/>
          <w:szCs w:val="20"/>
          <w:color w:val="auto"/>
        </w:rPr>
        <w:t>. The Award is subject to restrictions on transfer as set forth in Section 17 of the Plan.</w:t>
      </w:r>
    </w:p>
    <w:p>
      <w:pPr>
        <w:spacing w:after="0" w:line="188" w:lineRule="exact"/>
        <w:rPr>
          <w:rFonts w:ascii="Times New Roman" w:cs="Times New Roman" w:eastAsia="Times New Roman" w:hAnsi="Times New Roman"/>
          <w:sz w:val="20"/>
          <w:szCs w:val="20"/>
          <w:color w:val="auto"/>
        </w:rPr>
      </w:pPr>
    </w:p>
    <w:p>
      <w:pPr>
        <w:jc w:val="both"/>
        <w:ind w:left="-323" w:firstLine="325"/>
        <w:spacing w:after="0" w:line="254" w:lineRule="auto"/>
        <w:tabs>
          <w:tab w:leader="none" w:pos="4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The Award is intended to be exempt from Section 409A of the Code and should be interpreted accordingly.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Nonetheless, the Company does not guarantee the tax treatment of the Award. Notwithstanding anything herein to the contrary, the Company may terminate this arrangement at any time in a manner consistent with the requirements of Section 409A of the Code. Notwithstanding any other provision of this Agreement, to the extent provided in Prop. Treas. Reg. § 1.409A-1(b)(4)(ii) or any successor provision, the Company may delay settlement of PRSUs if it reasonably determines that such settlement would violate federal securities laws or any other Applicable Law.</w:t>
      </w:r>
    </w:p>
    <w:p>
      <w:pPr>
        <w:sectPr>
          <w:pgSz w:w="11900" w:h="16838" w:orient="portrait"/>
          <w:cols w:equalWidth="0" w:num="1">
            <w:col w:w="10297"/>
          </w:cols>
          <w:pgMar w:left="1163" w:top="1440" w:right="439" w:bottom="1440" w:gutter="0" w:footer="0" w:header="0"/>
        </w:sectPr>
      </w:pPr>
    </w:p>
    <w:bookmarkStart w:id="120" w:name="page121"/>
    <w:bookmarkEnd w:id="120"/>
    <w:p>
      <w:pPr>
        <w:jc w:val="both"/>
        <w:ind w:left="-322" w:firstLine="324"/>
        <w:spacing w:after="0" w:line="263" w:lineRule="auto"/>
        <w:tabs>
          <w:tab w:leader="none" w:pos="46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Right to Continued Service</w:t>
      </w:r>
      <w:r>
        <w:rPr>
          <w:rFonts w:ascii="Times New Roman" w:cs="Times New Roman" w:eastAsia="Times New Roman" w:hAnsi="Times New Roman"/>
          <w:sz w:val="20"/>
          <w:szCs w:val="20"/>
          <w:color w:val="auto"/>
        </w:rPr>
        <w:t>. Neither the Plan nor this Award will confer upon the Participant any right to continue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employment or service of the Company or any of its Affiliates, or limit in any respect the right of the Company or its Affiliates to discharge the Participant at any time, with or without Cause.</w:t>
      </w:r>
    </w:p>
    <w:p>
      <w:pPr>
        <w:spacing w:after="0" w:line="134" w:lineRule="exact"/>
        <w:rPr>
          <w:rFonts w:ascii="Times New Roman" w:cs="Times New Roman" w:eastAsia="Times New Roman" w:hAnsi="Times New Roman"/>
          <w:sz w:val="20"/>
          <w:szCs w:val="20"/>
          <w:color w:val="auto"/>
        </w:rPr>
      </w:pPr>
    </w:p>
    <w:p>
      <w:pPr>
        <w:jc w:val="both"/>
        <w:ind w:left="-322" w:firstLine="324"/>
        <w:spacing w:after="0" w:line="255" w:lineRule="auto"/>
        <w:tabs>
          <w:tab w:leader="none" w:pos="45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Plan</w:t>
      </w:r>
      <w:r>
        <w:rPr>
          <w:rFonts w:ascii="Times New Roman" w:cs="Times New Roman" w:eastAsia="Times New Roman" w:hAnsi="Times New Roman"/>
          <w:sz w:val="20"/>
          <w:szCs w:val="20"/>
          <w:color w:val="auto"/>
        </w:rPr>
        <w:t>. The Participant has received a copy of the Plan, has read the Plan and is familiar with its terms, and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accepts the Award subject to the terms and provisions of the Plan. Pursuant to the Plan, the Committee is authorized to interpret the Plan and any awards issued under the Plan. The Participant hereby agrees to accept as binding, conclusive and final all decisions or interpretations of the Committee with respect to questions arising under the Plan, the Notice, or this Agreement.</w:t>
      </w:r>
    </w:p>
    <w:p>
      <w:pPr>
        <w:spacing w:after="0" w:line="143" w:lineRule="exact"/>
        <w:rPr>
          <w:rFonts w:ascii="Times New Roman" w:cs="Times New Roman" w:eastAsia="Times New Roman" w:hAnsi="Times New Roman"/>
          <w:sz w:val="20"/>
          <w:szCs w:val="20"/>
          <w:color w:val="auto"/>
        </w:rPr>
      </w:pPr>
    </w:p>
    <w:p>
      <w:pPr>
        <w:jc w:val="both"/>
        <w:ind w:left="-322" w:firstLine="323"/>
        <w:spacing w:after="0" w:line="252" w:lineRule="auto"/>
        <w:tabs>
          <w:tab w:leader="none" w:pos="44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Clawback Provisions</w:t>
      </w:r>
      <w:r>
        <w:rPr>
          <w:rFonts w:ascii="Times New Roman" w:cs="Times New Roman" w:eastAsia="Times New Roman" w:hAnsi="Times New Roman"/>
          <w:sz w:val="20"/>
          <w:szCs w:val="20"/>
          <w:color w:val="auto"/>
        </w:rPr>
        <w:t>. In consideration for the grant of the Award, the Participant agrees to be subject to (i)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clawback, recoupment or similar policies of the Company or its Affiliates covering the Participant that may be in effect from time to time (including, without limitation, the Burke &amp; Herbert Financial Services Corp. Clawback Policy), whether adopted before or after the Grant Date, and (ii) to such other clawback measures as may be required by Applicable Law ((i) and (ii) together, the “</w:t>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The Participant understands that the Clawback Provisions are not limited in their application to the Award, or to any equity or cash the Participant may receive in connection with the Award. In addition, the Committee reserves the right to reduce amounts payable hereunder by an amount equal to the losses incurred by the Company and its Affiliates due to the fraud or malfeasance of the Participant (whether due to an action or failure to act on the part of the Participant), including legal and other costs associated with that loss.</w:t>
      </w:r>
    </w:p>
    <w:p>
      <w:pPr>
        <w:spacing w:after="0" w:line="148" w:lineRule="exact"/>
        <w:rPr>
          <w:rFonts w:ascii="Times New Roman" w:cs="Times New Roman" w:eastAsia="Times New Roman" w:hAnsi="Times New Roman"/>
          <w:sz w:val="20"/>
          <w:szCs w:val="20"/>
          <w:color w:val="auto"/>
        </w:rPr>
      </w:pPr>
    </w:p>
    <w:p>
      <w:pPr>
        <w:jc w:val="both"/>
        <w:ind w:left="-322" w:firstLine="324"/>
        <w:spacing w:after="0" w:line="263" w:lineRule="auto"/>
        <w:tabs>
          <w:tab w:leader="none" w:pos="45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Company Policies</w:t>
      </w:r>
      <w:r>
        <w:rPr>
          <w:rFonts w:ascii="Times New Roman" w:cs="Times New Roman" w:eastAsia="Times New Roman" w:hAnsi="Times New Roman"/>
          <w:sz w:val="20"/>
          <w:szCs w:val="20"/>
          <w:color w:val="auto"/>
        </w:rPr>
        <w:t>. The Participant agrees, in consideration for the grant of the Award, to be subject to any policies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Company and its Affiliates regarding stock ownership, securities trading, anti-hedging and anti-pledging of securities, and other similar policies, that may be in effect from time to time, or as may otherwise be required by Applicable Law.</w:t>
      </w:r>
    </w:p>
    <w:p>
      <w:pPr>
        <w:spacing w:after="0" w:line="134" w:lineRule="exact"/>
        <w:rPr>
          <w:rFonts w:ascii="Times New Roman" w:cs="Times New Roman" w:eastAsia="Times New Roman" w:hAnsi="Times New Roman"/>
          <w:sz w:val="20"/>
          <w:szCs w:val="20"/>
          <w:color w:val="auto"/>
        </w:rPr>
      </w:pPr>
    </w:p>
    <w:p>
      <w:pPr>
        <w:jc w:val="both"/>
        <w:ind w:left="-322" w:firstLine="324"/>
        <w:spacing w:after="0" w:line="263" w:lineRule="auto"/>
        <w:tabs>
          <w:tab w:leader="none" w:pos="45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The Notice, and this Agreement, together with the Plan, represent the entire agreement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with respect to the subject matter hereof and supersede any prior agreement, written or otherwise, relating to the subject matter hereof.</w:t>
      </w:r>
    </w:p>
    <w:p>
      <w:pPr>
        <w:spacing w:after="0" w:line="134" w:lineRule="exact"/>
        <w:rPr>
          <w:rFonts w:ascii="Times New Roman" w:cs="Times New Roman" w:eastAsia="Times New Roman" w:hAnsi="Times New Roman"/>
          <w:sz w:val="20"/>
          <w:szCs w:val="20"/>
          <w:color w:val="auto"/>
        </w:rPr>
      </w:pPr>
    </w:p>
    <w:p>
      <w:pPr>
        <w:jc w:val="both"/>
        <w:ind w:left="-322" w:right="20" w:firstLine="324"/>
        <w:spacing w:after="0" w:line="263" w:lineRule="auto"/>
        <w:tabs>
          <w:tab w:leader="none" w:pos="45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Acknowledgment of Non-Reliance</w:t>
      </w:r>
      <w:r>
        <w:rPr>
          <w:rFonts w:ascii="Times New Roman" w:cs="Times New Roman" w:eastAsia="Times New Roman" w:hAnsi="Times New Roman"/>
          <w:sz w:val="20"/>
          <w:szCs w:val="20"/>
          <w:color w:val="auto"/>
        </w:rPr>
        <w:t>. Except for those representations and warranties expressly set forth in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hereby disclaims reliance on any and all representations, warranties, or statements of any nature or kind, express or implied, including, but not limited to, the accuracy or completeness of such representations, warranties, or statements.</w:t>
      </w:r>
    </w:p>
    <w:p>
      <w:pPr>
        <w:spacing w:after="0" w:line="134" w:lineRule="exact"/>
        <w:rPr>
          <w:rFonts w:ascii="Times New Roman" w:cs="Times New Roman" w:eastAsia="Times New Roman" w:hAnsi="Times New Roman"/>
          <w:sz w:val="20"/>
          <w:szCs w:val="20"/>
          <w:color w:val="auto"/>
        </w:rPr>
      </w:pPr>
    </w:p>
    <w:p>
      <w:pPr>
        <w:jc w:val="both"/>
        <w:ind w:left="-322" w:firstLine="323"/>
        <w:spacing w:after="0" w:line="270" w:lineRule="auto"/>
        <w:tabs>
          <w:tab w:leader="none" w:pos="45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This Agreement may only be amended by a writing signed by each of the parties hereto; provided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may amend this Agreement without the Participant’s consent, if the amendment does not materially impair the Participant’s rights hereunder.</w:t>
      </w:r>
    </w:p>
    <w:p>
      <w:pPr>
        <w:spacing w:after="0" w:line="114" w:lineRule="exact"/>
        <w:rPr>
          <w:rFonts w:ascii="Times New Roman" w:cs="Times New Roman" w:eastAsia="Times New Roman" w:hAnsi="Times New Roman"/>
          <w:sz w:val="20"/>
          <w:szCs w:val="20"/>
          <w:color w:val="auto"/>
        </w:rPr>
      </w:pPr>
    </w:p>
    <w:p>
      <w:pPr>
        <w:jc w:val="both"/>
        <w:ind w:left="-322" w:right="20" w:firstLine="323"/>
        <w:spacing w:after="0" w:line="258" w:lineRule="auto"/>
        <w:tabs>
          <w:tab w:leader="none" w:pos="45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Choice of Law</w:t>
      </w:r>
      <w:r>
        <w:rPr>
          <w:rFonts w:ascii="Times New Roman" w:cs="Times New Roman" w:eastAsia="Times New Roman" w:hAnsi="Times New Roman"/>
          <w:sz w:val="20"/>
          <w:szCs w:val="20"/>
          <w:color w:val="auto"/>
        </w:rPr>
        <w:t>. This Agreement, the interpretation and enforcement thereof and all claims arising out of or relating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or the transactions contemplated by this Agreement, whether sounding in tort, contract or otherwise, shall be governed solely and exclusively by, and construed in accordance with, the laws and judicial decisions of the Commonwealth of Virginia without giving effect to any choice or conflict of law provision or rule that would cause the application of the laws and judicial decisions of any jurisdiction other than the Commonwealth of Virginia.</w:t>
      </w:r>
    </w:p>
    <w:p>
      <w:pPr>
        <w:spacing w:after="0" w:line="140" w:lineRule="exact"/>
        <w:rPr>
          <w:rFonts w:ascii="Times New Roman" w:cs="Times New Roman" w:eastAsia="Times New Roman" w:hAnsi="Times New Roman"/>
          <w:sz w:val="20"/>
          <w:szCs w:val="20"/>
          <w:color w:val="auto"/>
        </w:rPr>
      </w:pPr>
    </w:p>
    <w:p>
      <w:pPr>
        <w:jc w:val="both"/>
        <w:ind w:left="-322" w:right="20" w:firstLine="322"/>
        <w:spacing w:after="0" w:line="260" w:lineRule="auto"/>
        <w:tabs>
          <w:tab w:leader="none" w:pos="45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Forum Selection</w:t>
      </w:r>
      <w:r>
        <w:rPr>
          <w:rFonts w:ascii="Times New Roman" w:cs="Times New Roman" w:eastAsia="Times New Roman" w:hAnsi="Times New Roman"/>
          <w:sz w:val="20"/>
          <w:szCs w:val="20"/>
          <w:color w:val="auto"/>
        </w:rPr>
        <w:t>. All actions and proceedings arising out of or relating to this Agreement, or the transactions contemplated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this Agreement, shall be heard and determined solely and exclusively in the Circuit Court for the City of Alexandria in the Commonwealth of Virginia or the Alexandria Division of the United States District Court for the Eastern District of Virginia, chosen at</w:t>
      </w:r>
    </w:p>
    <w:p>
      <w:pPr>
        <w:sectPr>
          <w:pgSz w:w="11900" w:h="16838" w:orient="portrait"/>
          <w:cols w:equalWidth="0" w:num="1">
            <w:col w:w="10298"/>
          </w:cols>
          <w:pgMar w:left="1162" w:top="1409" w:right="439" w:bottom="1440" w:gutter="0" w:footer="0" w:header="0"/>
        </w:sectPr>
      </w:pPr>
    </w:p>
    <w:bookmarkStart w:id="121" w:name="page122"/>
    <w:bookmarkEnd w:id="121"/>
    <w:p>
      <w:pPr>
        <w:ind w:right="400"/>
        <w:spacing w:after="0" w:line="269" w:lineRule="auto"/>
        <w:rPr>
          <w:sz w:val="20"/>
          <w:szCs w:val="20"/>
          <w:color w:val="auto"/>
        </w:rPr>
      </w:pPr>
      <w:r>
        <w:rPr>
          <w:rFonts w:ascii="Times New Roman" w:cs="Times New Roman" w:eastAsia="Times New Roman" w:hAnsi="Times New Roman"/>
          <w:sz w:val="20"/>
          <w:szCs w:val="20"/>
          <w:color w:val="auto"/>
        </w:rPr>
        <w:t>the option of the Company and to which the Participant waives all objections. The Participant consents to personal jurisdiction in Virginia.</w:t>
      </w:r>
    </w:p>
    <w:p>
      <w:pPr>
        <w:spacing w:after="0" w:line="128" w:lineRule="exact"/>
        <w:rPr>
          <w:sz w:val="20"/>
          <w:szCs w:val="20"/>
          <w:color w:val="auto"/>
        </w:rPr>
      </w:pPr>
    </w:p>
    <w:p>
      <w:pPr>
        <w:jc w:val="both"/>
        <w:ind w:right="20" w:firstLine="324"/>
        <w:spacing w:after="0" w:line="263" w:lineRule="auto"/>
        <w:tabs>
          <w:tab w:leader="none" w:pos="77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Jury Trial</w:t>
      </w:r>
      <w:r>
        <w:rPr>
          <w:rFonts w:ascii="Times New Roman" w:cs="Times New Roman" w:eastAsia="Times New Roman" w:hAnsi="Times New Roman"/>
          <w:sz w:val="20"/>
          <w:szCs w:val="20"/>
          <w:color w:val="auto"/>
        </w:rPr>
        <w:t>. Each party hereby waives its right to a jury trial of any and all claims or cause of actions based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arising out of this Agreement or the transactions contemplated by this Agreement. Each party hereby acknowledges and agrees that the waiver contained in this Section 18 is made knowingly and voluntarily.</w:t>
      </w:r>
    </w:p>
    <w:p>
      <w:pPr>
        <w:spacing w:after="0" w:line="134" w:lineRule="exact"/>
        <w:rPr>
          <w:rFonts w:ascii="Times New Roman" w:cs="Times New Roman" w:eastAsia="Times New Roman" w:hAnsi="Times New Roman"/>
          <w:sz w:val="20"/>
          <w:szCs w:val="20"/>
          <w:color w:val="auto"/>
        </w:rPr>
      </w:pPr>
    </w:p>
    <w:p>
      <w:pPr>
        <w:ind w:right="20" w:firstLine="324"/>
        <w:spacing w:after="0" w:line="287" w:lineRule="auto"/>
        <w:tabs>
          <w:tab w:leader="none" w:pos="77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Headings</w:t>
      </w:r>
      <w:r>
        <w:rPr>
          <w:rFonts w:ascii="Times New Roman" w:cs="Times New Roman" w:eastAsia="Times New Roman" w:hAnsi="Times New Roman"/>
          <w:sz w:val="20"/>
          <w:szCs w:val="20"/>
          <w:color w:val="auto"/>
        </w:rPr>
        <w:t>. The headings in this Agreement are for convenience only. They form no part of the Agreement and will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affect its interpretation.</w:t>
      </w:r>
    </w:p>
    <w:p>
      <w:pPr>
        <w:spacing w:after="0" w:line="111" w:lineRule="exact"/>
        <w:rPr>
          <w:rFonts w:ascii="Times New Roman" w:cs="Times New Roman" w:eastAsia="Times New Roman" w:hAnsi="Times New Roman"/>
          <w:sz w:val="20"/>
          <w:szCs w:val="20"/>
          <w:color w:val="auto"/>
        </w:rPr>
      </w:pPr>
    </w:p>
    <w:p>
      <w:pPr>
        <w:jc w:val="both"/>
        <w:ind w:right="20" w:firstLine="323"/>
        <w:spacing w:after="0" w:line="263" w:lineRule="auto"/>
        <w:tabs>
          <w:tab w:leader="none" w:pos="77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Withholding</w:t>
      </w:r>
      <w:r>
        <w:rPr>
          <w:rFonts w:ascii="Times New Roman" w:cs="Times New Roman" w:eastAsia="Times New Roman" w:hAnsi="Times New Roman"/>
          <w:sz w:val="20"/>
          <w:szCs w:val="20"/>
          <w:color w:val="auto"/>
        </w:rPr>
        <w:t>. In accordance with Section 18 of the Plan, the obligations of the Company hereunder are conditioned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timely paying, or otherwise making arrangements satisfactory to the Company regarding the timely satisfaction of, any tax withholding requirements.</w:t>
      </w:r>
    </w:p>
    <w:p>
      <w:pPr>
        <w:spacing w:after="0" w:line="134" w:lineRule="exact"/>
        <w:rPr>
          <w:rFonts w:ascii="Times New Roman" w:cs="Times New Roman" w:eastAsia="Times New Roman" w:hAnsi="Times New Roman"/>
          <w:sz w:val="20"/>
          <w:szCs w:val="20"/>
          <w:color w:val="auto"/>
        </w:rPr>
      </w:pPr>
    </w:p>
    <w:p>
      <w:pPr>
        <w:jc w:val="both"/>
        <w:ind w:firstLine="323"/>
        <w:spacing w:after="0" w:line="252" w:lineRule="auto"/>
        <w:tabs>
          <w:tab w:leader="none" w:pos="77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Electronic Delivery of Documents</w:t>
      </w:r>
      <w:r>
        <w:rPr>
          <w:rFonts w:ascii="Times New Roman" w:cs="Times New Roman" w:eastAsia="Times New Roman" w:hAnsi="Times New Roman"/>
          <w:sz w:val="20"/>
          <w:szCs w:val="20"/>
          <w:color w:val="auto"/>
        </w:rPr>
        <w:t>. The Participant authorizes the Company to deliver electronically any prospectuses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documentation related to the Award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or the website of a third-party administrator designated by the Company. Upon written request, the Company will provide to the Participant a paper copy of any document also delivered to the Participant electronically. The authorization described in this Section 21 may be revoked by the Participant at any time by written notice to the Company.</w:t>
      </w:r>
    </w:p>
    <w:p>
      <w:pPr>
        <w:spacing w:after="0" w:line="147" w:lineRule="exact"/>
        <w:rPr>
          <w:rFonts w:ascii="Times New Roman" w:cs="Times New Roman" w:eastAsia="Times New Roman" w:hAnsi="Times New Roman"/>
          <w:sz w:val="20"/>
          <w:szCs w:val="20"/>
          <w:color w:val="auto"/>
        </w:rPr>
      </w:pPr>
    </w:p>
    <w:p>
      <w:pPr>
        <w:jc w:val="both"/>
        <w:ind w:firstLine="323"/>
        <w:spacing w:after="0" w:line="263" w:lineRule="auto"/>
        <w:tabs>
          <w:tab w:leader="none" w:pos="77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Further Assurances</w:t>
      </w:r>
      <w:r>
        <w:rPr>
          <w:rFonts w:ascii="Times New Roman" w:cs="Times New Roman" w:eastAsia="Times New Roman" w:hAnsi="Times New Roman"/>
          <w:sz w:val="20"/>
          <w:szCs w:val="20"/>
          <w:color w:val="auto"/>
        </w:rPr>
        <w:t>. The Participant agrees, upon demand of the Company, to do all acts and execute, deliver and perform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additional documents, instruments and agreements which may be reasonably required by the Company to implement the provisions and purposes of this Agreement and the Plan.</w:t>
      </w:r>
    </w:p>
    <w:p>
      <w:pPr>
        <w:sectPr>
          <w:pgSz w:w="11900" w:h="16838" w:orient="portrait"/>
          <w:cols w:equalWidth="0" w:num="1">
            <w:col w:w="10620"/>
          </w:cols>
          <w:pgMar w:left="840" w:top="1413" w:right="439" w:bottom="1440" w:gutter="0" w:footer="0" w:header="0"/>
        </w:sectPr>
      </w:pPr>
    </w:p>
    <w:bookmarkStart w:id="122" w:name="page123"/>
    <w:bookmarkEnd w:id="122"/>
    <w:p>
      <w:pPr>
        <w:spacing w:after="0" w:line="77" w:lineRule="exact"/>
        <w:rPr>
          <w:sz w:val="20"/>
          <w:szCs w:val="20"/>
          <w:color w:val="auto"/>
        </w:rPr>
      </w:pPr>
    </w:p>
    <w:p>
      <w:pPr>
        <w:ind w:left="3444"/>
        <w:spacing w:after="0"/>
        <w:rPr>
          <w:sz w:val="20"/>
          <w:szCs w:val="20"/>
          <w:color w:val="auto"/>
        </w:rPr>
      </w:pPr>
      <w:r>
        <w:rPr>
          <w:rFonts w:ascii="Times New Roman" w:cs="Times New Roman" w:eastAsia="Times New Roman" w:hAnsi="Times New Roman"/>
          <w:sz w:val="20"/>
          <w:szCs w:val="20"/>
          <w:b w:val="1"/>
          <w:bCs w:val="1"/>
          <w:color w:val="auto"/>
        </w:rPr>
        <w:t>APPENDIX A COMPANY PEER GROUP</w:t>
      </w:r>
    </w:p>
    <w:p>
      <w:pPr>
        <w:spacing w:after="0" w:line="11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9"/>
          <w:szCs w:val="19"/>
          <w:color w:val="auto"/>
        </w:rPr>
        <w:t>The Peer Group consists of the following companies (each, a “</w:t>
      </w:r>
      <w:r>
        <w:rPr>
          <w:rFonts w:ascii="Times New Roman" w:cs="Times New Roman" w:eastAsia="Times New Roman" w:hAnsi="Times New Roman"/>
          <w:sz w:val="19"/>
          <w:szCs w:val="19"/>
          <w:u w:val="single" w:color="auto"/>
          <w:color w:val="auto"/>
        </w:rPr>
        <w:t>Peer Group Company</w:t>
      </w:r>
      <w:r>
        <w:rPr>
          <w:rFonts w:ascii="Times New Roman" w:cs="Times New Roman" w:eastAsia="Times New Roman" w:hAnsi="Times New Roman"/>
          <w:sz w:val="19"/>
          <w:szCs w:val="19"/>
          <w:color w:val="auto"/>
        </w:rPr>
        <w:t>”):</w:t>
      </w:r>
    </w:p>
    <w:p>
      <w:pPr>
        <w:sectPr>
          <w:pgSz w:w="11900" w:h="16838" w:orient="portrait"/>
          <w:cols w:equalWidth="0" w:num="1">
            <w:col w:w="9703"/>
          </w:cols>
          <w:pgMar w:left="756" w:top="144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324" w:hanging="321"/>
        <w:spacing w:after="0"/>
        <w:tabs>
          <w:tab w:leader="none" w:pos="32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WSFS Financial Corporation</w:t>
      </w:r>
    </w:p>
    <w:p>
      <w:pPr>
        <w:spacing w:after="0" w:line="28" w:lineRule="exact"/>
        <w:rPr>
          <w:rFonts w:ascii="Times New Roman" w:cs="Times New Roman" w:eastAsia="Times New Roman" w:hAnsi="Times New Roman"/>
          <w:sz w:val="20"/>
          <w:szCs w:val="20"/>
          <w:color w:val="auto"/>
        </w:rPr>
      </w:pPr>
    </w:p>
    <w:p>
      <w:pPr>
        <w:ind w:left="324" w:hanging="321"/>
        <w:spacing w:after="0"/>
        <w:tabs>
          <w:tab w:leader="none" w:pos="32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Independent Bank Corp.</w:t>
      </w:r>
    </w:p>
    <w:p>
      <w:pPr>
        <w:spacing w:after="0" w:line="13" w:lineRule="exact"/>
        <w:rPr>
          <w:rFonts w:ascii="Times New Roman" w:cs="Times New Roman" w:eastAsia="Times New Roman" w:hAnsi="Times New Roman"/>
          <w:sz w:val="20"/>
          <w:szCs w:val="20"/>
          <w:color w:val="auto"/>
        </w:rPr>
      </w:pPr>
    </w:p>
    <w:p>
      <w:pPr>
        <w:ind w:left="324" w:hanging="321"/>
        <w:spacing w:after="0"/>
        <w:tabs>
          <w:tab w:leader="none" w:pos="32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Financial Bancorp.</w:t>
      </w:r>
    </w:p>
    <w:p>
      <w:pPr>
        <w:spacing w:after="0" w:line="13" w:lineRule="exact"/>
        <w:rPr>
          <w:rFonts w:ascii="Times New Roman" w:cs="Times New Roman" w:eastAsia="Times New Roman" w:hAnsi="Times New Roman"/>
          <w:sz w:val="20"/>
          <w:szCs w:val="20"/>
          <w:color w:val="auto"/>
        </w:rPr>
      </w:pPr>
    </w:p>
    <w:p>
      <w:pPr>
        <w:ind w:left="324" w:hanging="321"/>
        <w:spacing w:after="0"/>
        <w:tabs>
          <w:tab w:leader="none" w:pos="32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Merchants Corporation</w:t>
      </w:r>
    </w:p>
    <w:p>
      <w:pPr>
        <w:spacing w:after="0" w:line="13" w:lineRule="exact"/>
        <w:rPr>
          <w:rFonts w:ascii="Times New Roman" w:cs="Times New Roman" w:eastAsia="Times New Roman" w:hAnsi="Times New Roman"/>
          <w:sz w:val="20"/>
          <w:szCs w:val="20"/>
          <w:color w:val="auto"/>
        </w:rPr>
      </w:pPr>
    </w:p>
    <w:p>
      <w:pPr>
        <w:ind w:left="324" w:hanging="322"/>
        <w:spacing w:after="0"/>
        <w:tabs>
          <w:tab w:leader="none" w:pos="32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TowneBank</w:t>
      </w:r>
    </w:p>
    <w:p>
      <w:pPr>
        <w:spacing w:after="0" w:line="13" w:lineRule="exact"/>
        <w:rPr>
          <w:rFonts w:ascii="Times New Roman" w:cs="Times New Roman" w:eastAsia="Times New Roman" w:hAnsi="Times New Roman"/>
          <w:sz w:val="20"/>
          <w:szCs w:val="20"/>
          <w:color w:val="auto"/>
        </w:rPr>
      </w:pPr>
    </w:p>
    <w:p>
      <w:pPr>
        <w:ind w:left="324" w:hanging="322"/>
        <w:spacing w:after="0"/>
        <w:tabs>
          <w:tab w:leader="none" w:pos="32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ServisFirst Bancshares, Inc.</w:t>
      </w:r>
    </w:p>
    <w:p>
      <w:pPr>
        <w:spacing w:after="0" w:line="13" w:lineRule="exact"/>
        <w:rPr>
          <w:rFonts w:ascii="Times New Roman" w:cs="Times New Roman" w:eastAsia="Times New Roman" w:hAnsi="Times New Roman"/>
          <w:sz w:val="20"/>
          <w:szCs w:val="20"/>
          <w:color w:val="auto"/>
        </w:rPr>
      </w:pPr>
    </w:p>
    <w:p>
      <w:pPr>
        <w:ind w:left="324" w:hanging="322"/>
        <w:spacing w:after="0"/>
        <w:tabs>
          <w:tab w:leader="none" w:pos="32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Community Financial System, Inc.</w:t>
      </w:r>
    </w:p>
    <w:p>
      <w:pPr>
        <w:spacing w:after="0" w:line="13" w:lineRule="exact"/>
        <w:rPr>
          <w:rFonts w:ascii="Times New Roman" w:cs="Times New Roman" w:eastAsia="Times New Roman" w:hAnsi="Times New Roman"/>
          <w:sz w:val="20"/>
          <w:szCs w:val="20"/>
          <w:color w:val="auto"/>
        </w:rPr>
      </w:pPr>
    </w:p>
    <w:p>
      <w:pPr>
        <w:ind w:left="324" w:hanging="322"/>
        <w:spacing w:after="0"/>
        <w:tabs>
          <w:tab w:leader="none" w:pos="32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NBT Bancorp Inc.</w:t>
      </w:r>
    </w:p>
    <w:p>
      <w:pPr>
        <w:spacing w:after="0" w:line="6" w:lineRule="exact"/>
        <w:rPr>
          <w:rFonts w:ascii="Times New Roman" w:cs="Times New Roman" w:eastAsia="Times New Roman" w:hAnsi="Times New Roman"/>
          <w:sz w:val="20"/>
          <w:szCs w:val="20"/>
          <w:color w:val="auto"/>
        </w:rPr>
      </w:pPr>
    </w:p>
    <w:p>
      <w:pPr>
        <w:ind w:left="324" w:hanging="322"/>
        <w:spacing w:after="0"/>
        <w:tabs>
          <w:tab w:leader="none" w:pos="32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Seacoast Banking Corporation of Florida</w:t>
      </w:r>
    </w:p>
    <w:p>
      <w:pPr>
        <w:spacing w:after="0" w:line="6" w:lineRule="exact"/>
        <w:rPr>
          <w:rFonts w:ascii="Times New Roman" w:cs="Times New Roman" w:eastAsia="Times New Roman" w:hAnsi="Times New Roman"/>
          <w:sz w:val="20"/>
          <w:szCs w:val="20"/>
          <w:color w:val="auto"/>
        </w:rPr>
      </w:pPr>
    </w:p>
    <w:p>
      <w:pPr>
        <w:ind w:left="324" w:hanging="322"/>
        <w:spacing w:after="0"/>
        <w:tabs>
          <w:tab w:leader="none" w:pos="32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Northwest Bancshares, Inc.</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Dime Community Bancshares, Inc.</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ConnectOne Bancorp, Inc.</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Live Oak Bancshares, Inc.</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FB Financial Corporation</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OceanFirst Financial Corp.</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Bancorp</w:t>
      </w:r>
    </w:p>
    <w:p>
      <w:pPr>
        <w:spacing w:after="0" w:line="13" w:lineRule="exact"/>
        <w:rPr>
          <w:rFonts w:ascii="Times New Roman" w:cs="Times New Roman" w:eastAsia="Times New Roman" w:hAnsi="Times New Roman"/>
          <w:sz w:val="20"/>
          <w:szCs w:val="20"/>
          <w:color w:val="auto"/>
        </w:rPr>
      </w:pPr>
    </w:p>
    <w:p>
      <w:pPr>
        <w:ind w:left="324" w:hanging="322"/>
        <w:spacing w:after="0"/>
        <w:tabs>
          <w:tab w:leader="none" w:pos="32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Commonwealth Financial Corporation</w:t>
      </w:r>
    </w:p>
    <w:p>
      <w:pPr>
        <w:spacing w:after="0" w:line="17" w:lineRule="exact"/>
        <w:rPr>
          <w:rFonts w:ascii="Times New Roman" w:cs="Times New Roman" w:eastAsia="Times New Roman" w:hAnsi="Times New Roman"/>
          <w:sz w:val="19"/>
          <w:szCs w:val="19"/>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Eagle Bancorp, Inc.</w:t>
      </w:r>
    </w:p>
    <w:p>
      <w:pPr>
        <w:spacing w:after="0" w:line="6"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Amerant Bancorp Inc.</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Park National Corporation</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S&amp;T Bancorp, Inc.</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Peoples Bancorp Inc.</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Yards Bancorp, Inc.</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1st Source Corporation</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Bancorp, Inc.</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Flushing Financial Corporation</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Amalgamated Financial Corp.</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Tompkins Financial Corporation</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German American Bancorp, Inc.</w:t>
      </w:r>
    </w:p>
    <w:p>
      <w:pPr>
        <w:spacing w:after="0" w:line="6"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Univest Financial Corporation</w:t>
      </w:r>
    </w:p>
    <w:p>
      <w:pPr>
        <w:spacing w:after="0" w:line="6"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Metropolitan Bank Holding Corp.</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Kearny Financial Corp.</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Horizon Bancorp, Inc.</w:t>
      </w:r>
    </w:p>
    <w:p>
      <w:pPr>
        <w:spacing w:after="0" w:line="13" w:lineRule="exact"/>
        <w:rPr>
          <w:rFonts w:ascii="Times New Roman" w:cs="Times New Roman" w:eastAsia="Times New Roman" w:hAnsi="Times New Roman"/>
          <w:sz w:val="20"/>
          <w:szCs w:val="20"/>
          <w:color w:val="auto"/>
        </w:rPr>
      </w:pPr>
    </w:p>
    <w:p>
      <w:pPr>
        <w:ind w:left="304" w:hanging="303"/>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Peapack-Gladstone</w:t>
      </w:r>
    </w:p>
    <w:p>
      <w:pPr>
        <w:spacing w:after="0" w:line="13"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Corporation</w:t>
      </w:r>
    </w:p>
    <w:p>
      <w:pPr>
        <w:spacing w:after="0" w:line="13"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Republic Bancorp, Inc.</w:t>
      </w:r>
    </w:p>
    <w:p>
      <w:pPr>
        <w:spacing w:after="0" w:line="13"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Lakeland Financial Corporation</w:t>
      </w:r>
    </w:p>
    <w:p>
      <w:pPr>
        <w:spacing w:after="0" w:line="13"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Camden National Corporation</w:t>
      </w:r>
    </w:p>
    <w:p>
      <w:pPr>
        <w:spacing w:after="0" w:line="13"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Washington Trust Bancorp, Inc.</w:t>
      </w:r>
    </w:p>
    <w:p>
      <w:pPr>
        <w:spacing w:after="0" w:line="13"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City Holding Company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Northpointe Bancshares, Inc.</w:t>
      </w:r>
    </w:p>
    <w:p>
      <w:pPr>
        <w:spacing w:after="0" w:line="28" w:lineRule="exact"/>
        <w:rPr>
          <w:sz w:val="20"/>
          <w:szCs w:val="20"/>
          <w:color w:val="auto"/>
        </w:rPr>
      </w:pPr>
    </w:p>
    <w:p>
      <w:pPr>
        <w:ind w:left="321" w:hanging="320"/>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Community Trust Bancorp, Inc.</w:t>
      </w:r>
    </w:p>
    <w:p>
      <w:pPr>
        <w:spacing w:after="0" w:line="13" w:lineRule="exact"/>
        <w:rPr>
          <w:rFonts w:ascii="Times New Roman" w:cs="Times New Roman" w:eastAsia="Times New Roman" w:hAnsi="Times New Roman"/>
          <w:sz w:val="20"/>
          <w:szCs w:val="20"/>
          <w:color w:val="auto"/>
        </w:rPr>
      </w:pPr>
    </w:p>
    <w:p>
      <w:pPr>
        <w:ind w:left="321" w:hanging="320"/>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Mid Penn Bancorp, Inc.</w:t>
      </w:r>
    </w:p>
    <w:p>
      <w:pPr>
        <w:spacing w:after="0" w:line="13" w:lineRule="exact"/>
        <w:rPr>
          <w:rFonts w:ascii="Times New Roman" w:cs="Times New Roman" w:eastAsia="Times New Roman" w:hAnsi="Times New Roman"/>
          <w:sz w:val="20"/>
          <w:szCs w:val="20"/>
          <w:color w:val="auto"/>
        </w:rPr>
      </w:pPr>
    </w:p>
    <w:p>
      <w:pPr>
        <w:ind w:left="321" w:hanging="320"/>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TrustCo Bank Corp NY</w:t>
      </w:r>
    </w:p>
    <w:p>
      <w:pPr>
        <w:spacing w:after="0" w:line="13" w:lineRule="exact"/>
        <w:rPr>
          <w:rFonts w:ascii="Times New Roman" w:cs="Times New Roman" w:eastAsia="Times New Roman" w:hAnsi="Times New Roman"/>
          <w:sz w:val="20"/>
          <w:szCs w:val="20"/>
          <w:color w:val="auto"/>
        </w:rPr>
      </w:pPr>
    </w:p>
    <w:p>
      <w:pPr>
        <w:ind w:left="321" w:hanging="320"/>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CNB Financial Corporation</w:t>
      </w:r>
    </w:p>
    <w:p>
      <w:pPr>
        <w:spacing w:after="0" w:line="13" w:lineRule="exact"/>
        <w:rPr>
          <w:rFonts w:ascii="Times New Roman" w:cs="Times New Roman" w:eastAsia="Times New Roman" w:hAnsi="Times New Roman"/>
          <w:sz w:val="20"/>
          <w:szCs w:val="20"/>
          <w:color w:val="auto"/>
        </w:rPr>
      </w:pPr>
    </w:p>
    <w:p>
      <w:pPr>
        <w:ind w:left="321" w:hanging="320"/>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Mercantile Bank Corporation</w:t>
      </w:r>
    </w:p>
    <w:p>
      <w:pPr>
        <w:spacing w:after="0" w:line="13" w:lineRule="exact"/>
        <w:rPr>
          <w:rFonts w:ascii="Times New Roman" w:cs="Times New Roman" w:eastAsia="Times New Roman" w:hAnsi="Times New Roman"/>
          <w:sz w:val="20"/>
          <w:szCs w:val="20"/>
          <w:color w:val="auto"/>
        </w:rPr>
      </w:pPr>
    </w:p>
    <w:p>
      <w:pPr>
        <w:ind w:left="321" w:hanging="320"/>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Institutions, Inc.</w:t>
      </w:r>
    </w:p>
    <w:p>
      <w:pPr>
        <w:spacing w:after="0" w:line="13" w:lineRule="exact"/>
        <w:rPr>
          <w:rFonts w:ascii="Times New Roman" w:cs="Times New Roman" w:eastAsia="Times New Roman" w:hAnsi="Times New Roman"/>
          <w:sz w:val="20"/>
          <w:szCs w:val="20"/>
          <w:color w:val="auto"/>
        </w:rPr>
      </w:pPr>
    </w:p>
    <w:p>
      <w:pPr>
        <w:ind w:left="321" w:hanging="320"/>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Internet Bancorp</w:t>
      </w:r>
    </w:p>
    <w:p>
      <w:pPr>
        <w:spacing w:after="0" w:line="13" w:lineRule="exact"/>
        <w:rPr>
          <w:rFonts w:ascii="Times New Roman" w:cs="Times New Roman" w:eastAsia="Times New Roman" w:hAnsi="Times New Roman"/>
          <w:sz w:val="20"/>
          <w:szCs w:val="20"/>
          <w:color w:val="auto"/>
        </w:rPr>
      </w:pPr>
    </w:p>
    <w:p>
      <w:pPr>
        <w:ind w:left="321" w:hanging="320"/>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Shore Bancshares, Inc.</w:t>
      </w:r>
    </w:p>
    <w:p>
      <w:pPr>
        <w:spacing w:after="0" w:line="13" w:lineRule="exact"/>
        <w:rPr>
          <w:rFonts w:ascii="Times New Roman" w:cs="Times New Roman" w:eastAsia="Times New Roman" w:hAnsi="Times New Roman"/>
          <w:sz w:val="20"/>
          <w:szCs w:val="20"/>
          <w:color w:val="auto"/>
        </w:rPr>
      </w:pPr>
    </w:p>
    <w:p>
      <w:pPr>
        <w:ind w:left="321" w:hanging="319"/>
        <w:spacing w:after="0"/>
        <w:tabs>
          <w:tab w:leader="none" w:pos="321"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Northfield Bancorp, Inc. (Staten Island, NY)</w:t>
      </w:r>
    </w:p>
    <w:p>
      <w:pPr>
        <w:spacing w:after="0" w:line="17" w:lineRule="exact"/>
        <w:rPr>
          <w:rFonts w:ascii="Times New Roman" w:cs="Times New Roman" w:eastAsia="Times New Roman" w:hAnsi="Times New Roman"/>
          <w:sz w:val="19"/>
          <w:szCs w:val="19"/>
          <w:color w:val="auto"/>
        </w:rPr>
      </w:pPr>
    </w:p>
    <w:p>
      <w:pPr>
        <w:ind w:left="321" w:hanging="320"/>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HarborOne Bancorp, Inc.</w:t>
      </w:r>
    </w:p>
    <w:p>
      <w:pPr>
        <w:spacing w:after="0" w:line="6"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Financial Corporation</w:t>
      </w:r>
    </w:p>
    <w:p>
      <w:pPr>
        <w:spacing w:after="0" w:line="13"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SmartFinancial, Inc.</w:t>
      </w:r>
    </w:p>
    <w:p>
      <w:pPr>
        <w:spacing w:after="0" w:line="13"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Independent Bank Corporation</w:t>
      </w:r>
    </w:p>
    <w:p>
      <w:pPr>
        <w:spacing w:after="0" w:line="13"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Orrstown Financial Services, Inc.</w:t>
      </w:r>
    </w:p>
    <w:p>
      <w:pPr>
        <w:spacing w:after="0" w:line="13"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NB Bancorp, Inc.</w:t>
      </w:r>
    </w:p>
    <w:p>
      <w:pPr>
        <w:spacing w:after="0" w:line="13"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Farmers National Banc Corp.</w:t>
      </w:r>
    </w:p>
    <w:p>
      <w:pPr>
        <w:spacing w:after="0" w:line="13"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Peoples Financial Services Corp.</w:t>
      </w:r>
    </w:p>
    <w:p>
      <w:pPr>
        <w:sectPr>
          <w:pgSz w:w="11900" w:h="16838" w:orient="portrait"/>
          <w:cols w:equalWidth="0" w:num="2">
            <w:col w:w="5063" w:space="720"/>
            <w:col w:w="3920"/>
          </w:cols>
          <w:pgMar w:left="756" w:top="1440" w:right="1440" w:bottom="1440" w:gutter="0" w:footer="0" w:header="0"/>
          <w:type w:val="continuous"/>
        </w:sectPr>
      </w:pPr>
    </w:p>
    <w:bookmarkStart w:id="123" w:name="page124"/>
    <w:bookmarkEnd w:id="123"/>
    <w:p>
      <w:pPr>
        <w:spacing w:after="0" w:line="365" w:lineRule="exact"/>
        <w:rPr>
          <w:sz w:val="20"/>
          <w:szCs w:val="20"/>
          <w:color w:val="auto"/>
        </w:rPr>
      </w:pPr>
    </w:p>
    <w:p>
      <w:pPr>
        <w:jc w:val="both"/>
        <w:ind w:left="-323" w:firstLine="323"/>
        <w:spacing w:after="0" w:line="261" w:lineRule="auto"/>
        <w:tabs>
          <w:tab w:leader="none" w:pos="45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merger, acquisition or business combination of a Peer Group Company by or with another Peer Group Company is consummated during the Performance Period, then the entity that survives as a result of such merger, acquisition, or business combination will be considered a Peer Group Company for the Performance Period.</w:t>
      </w:r>
    </w:p>
    <w:p>
      <w:pPr>
        <w:spacing w:after="0" w:line="140" w:lineRule="exact"/>
        <w:rPr>
          <w:rFonts w:ascii="Times New Roman" w:cs="Times New Roman" w:eastAsia="Times New Roman" w:hAnsi="Times New Roman"/>
          <w:sz w:val="20"/>
          <w:szCs w:val="20"/>
          <w:color w:val="auto"/>
        </w:rPr>
      </w:pPr>
    </w:p>
    <w:p>
      <w:pPr>
        <w:jc w:val="both"/>
        <w:ind w:left="-323" w:right="20" w:firstLine="324"/>
        <w:spacing w:after="0" w:line="254" w:lineRule="auto"/>
        <w:tabs>
          <w:tab w:leader="none" w:pos="45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merger, acquisition or business combination of a Peer Group Company by or with an entity that is not a Peer Group Company is consummated during the Performance Period, and such Peer Group Company is the entity that survives such merger, acquisition, or business combination, then such Peer Group Company will continue to be considered a Peer Group Company for the Performance Period.</w:t>
      </w:r>
    </w:p>
    <w:p>
      <w:pPr>
        <w:spacing w:after="0" w:line="146" w:lineRule="exact"/>
        <w:rPr>
          <w:rFonts w:ascii="Times New Roman" w:cs="Times New Roman" w:eastAsia="Times New Roman" w:hAnsi="Times New Roman"/>
          <w:sz w:val="20"/>
          <w:szCs w:val="20"/>
          <w:color w:val="auto"/>
        </w:rPr>
      </w:pPr>
    </w:p>
    <w:p>
      <w:pPr>
        <w:jc w:val="both"/>
        <w:ind w:left="-323" w:firstLine="324"/>
        <w:spacing w:after="0" w:line="257" w:lineRule="auto"/>
        <w:tabs>
          <w:tab w:leader="none" w:pos="4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the Performance Period, (a) a Peer Group Company ceases to be a public company by becoming a private company through the “going dark” process, (b) a Peer Group Company delists, or (c) a merger, acquisition or business combination of a Peer Group Company by or with an entity that is not a Peer Group Company is consummated, and such Peer Group Company is not the entity that survives such merger, acquisition, or business combination, then such Peer Group Company shall be removed from the Peer Group for the Performance Period.</w:t>
      </w:r>
    </w:p>
    <w:p>
      <w:pPr>
        <w:spacing w:after="0" w:line="145" w:lineRule="exact"/>
        <w:rPr>
          <w:rFonts w:ascii="Times New Roman" w:cs="Times New Roman" w:eastAsia="Times New Roman" w:hAnsi="Times New Roman"/>
          <w:sz w:val="20"/>
          <w:szCs w:val="20"/>
          <w:color w:val="auto"/>
        </w:rPr>
      </w:pPr>
    </w:p>
    <w:p>
      <w:pPr>
        <w:jc w:val="both"/>
        <w:ind w:left="-323" w:firstLine="323"/>
        <w:spacing w:after="0" w:line="254" w:lineRule="auto"/>
        <w:tabs>
          <w:tab w:leader="none" w:pos="45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the Performance Period, a Peer Group Company files a petition for reorganization under Chapter 11 of the U.S. Bankruptcy Code or liquidation under Chapter 7 of the U.S. Bankruptcy Code, or enters receivership by the FDIC, such Peer Group Company shall remain in the Peer Group; provided that, for purposes of this Agreement, the TSR for such Peer Group Company(ies) will be negative one hundred percent (-100%).</w:t>
      </w:r>
    </w:p>
    <w:p>
      <w:pPr>
        <w:spacing w:after="0" w:line="146" w:lineRule="exact"/>
        <w:rPr>
          <w:rFonts w:ascii="Times New Roman" w:cs="Times New Roman" w:eastAsia="Times New Roman" w:hAnsi="Times New Roman"/>
          <w:sz w:val="20"/>
          <w:szCs w:val="20"/>
          <w:color w:val="auto"/>
        </w:rPr>
      </w:pPr>
    </w:p>
    <w:p>
      <w:pPr>
        <w:jc w:val="both"/>
        <w:ind w:left="-323" w:firstLine="324"/>
        <w:spacing w:after="0" w:line="268" w:lineRule="auto"/>
        <w:tabs>
          <w:tab w:leader="none" w:pos="45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have the authority to make other appropriate adjustments in response to a change in circumstances that results in a Peer Group Company no longer satisfying the criteria for which such company was originally selected, including lowering such Peer Group Company’s rank for purposes of determining rTSR.</w:t>
      </w:r>
    </w:p>
    <w:p>
      <w:pPr>
        <w:sectPr>
          <w:pgSz w:w="11900" w:h="16838" w:orient="portrait"/>
          <w:cols w:equalWidth="0" w:num="1">
            <w:col w:w="10297"/>
          </w:cols>
          <w:pgMar w:left="1163" w:top="1440"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P. Boyle, certify that:</w:t>
      </w:r>
    </w:p>
    <w:p>
      <w:pPr>
        <w:spacing w:after="0" w:line="175"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68"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5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1244"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20"/>
          <w:szCs w:val="20"/>
          <w:color w:val="auto"/>
        </w:rPr>
      </w:pPr>
    </w:p>
    <w:p>
      <w:pPr>
        <w:jc w:val="both"/>
        <w:ind w:left="660" w:hanging="328"/>
        <w:spacing w:after="0" w:line="230" w:lineRule="auto"/>
        <w:tabs>
          <w:tab w:leader="none" w:pos="766"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25"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May 8, 2026</w:t>
      </w:r>
    </w:p>
    <w:p>
      <w:pPr>
        <w:ind w:left="4540"/>
        <w:spacing w:after="0" w:line="211" w:lineRule="auto"/>
        <w:rPr>
          <w:sz w:val="20"/>
          <w:szCs w:val="20"/>
          <w:color w:val="auto"/>
        </w:rPr>
      </w:pPr>
      <w:r>
        <w:rPr>
          <w:rFonts w:ascii="Times New Roman" w:cs="Times New Roman" w:eastAsia="Times New Roman" w:hAnsi="Times New Roman"/>
          <w:sz w:val="20"/>
          <w:szCs w:val="20"/>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-6985</wp:posOffset>
            </wp:positionV>
            <wp:extent cx="10331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4540"/>
        <w:spacing w:after="0" w:line="197" w:lineRule="auto"/>
        <w:rPr>
          <w:sz w:val="20"/>
          <w:szCs w:val="20"/>
          <w:color w:val="auto"/>
        </w:rPr>
      </w:pPr>
      <w:r>
        <w:rPr>
          <w:rFonts w:ascii="Times New Roman" w:cs="Times New Roman" w:eastAsia="Times New Roman" w:hAnsi="Times New Roman"/>
          <w:sz w:val="20"/>
          <w:szCs w:val="20"/>
          <w:color w:val="auto"/>
        </w:rPr>
        <w:t>David P. Boyle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Chairman of the Board and Chief Executive Officer</w:t>
      </w:r>
    </w:p>
    <w:p>
      <w:pPr>
        <w:sectPr>
          <w:pgSz w:w="11900" w:h="16838" w:orient="portrait"/>
          <w:cols w:equalWidth="0" w:num="1">
            <w:col w:w="11240"/>
          </w:cols>
          <w:pgMar w:left="320" w:top="99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Roy E. Halyama, certify that:</w:t>
      </w:r>
    </w:p>
    <w:p>
      <w:pPr>
        <w:spacing w:after="0" w:line="175"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68"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50"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1244"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20"/>
          <w:szCs w:val="20"/>
          <w:color w:val="auto"/>
        </w:rPr>
      </w:pPr>
    </w:p>
    <w:p>
      <w:pPr>
        <w:jc w:val="both"/>
        <w:ind w:left="660" w:hanging="328"/>
        <w:spacing w:after="0" w:line="230" w:lineRule="auto"/>
        <w:tabs>
          <w:tab w:leader="none" w:pos="766"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25"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May 8, 2026</w:t>
      </w:r>
    </w:p>
    <w:p>
      <w:pPr>
        <w:ind w:left="4540"/>
        <w:spacing w:after="0" w:line="211" w:lineRule="auto"/>
        <w:rPr>
          <w:sz w:val="20"/>
          <w:szCs w:val="20"/>
          <w:color w:val="auto"/>
        </w:rPr>
      </w:pPr>
      <w:r>
        <w:rPr>
          <w:rFonts w:ascii="Times New Roman" w:cs="Times New Roman" w:eastAsia="Times New Roman" w:hAnsi="Times New Roman"/>
          <w:sz w:val="20"/>
          <w:szCs w:val="20"/>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-6985</wp:posOffset>
            </wp:positionV>
            <wp:extent cx="11093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4540"/>
        <w:spacing w:after="0" w:line="197" w:lineRule="auto"/>
        <w:rPr>
          <w:sz w:val="20"/>
          <w:szCs w:val="20"/>
          <w:color w:val="auto"/>
        </w:rPr>
      </w:pPr>
      <w:r>
        <w:rPr>
          <w:rFonts w:ascii="Times New Roman" w:cs="Times New Roman" w:eastAsia="Times New Roman" w:hAnsi="Times New Roman"/>
          <w:sz w:val="20"/>
          <w:szCs w:val="20"/>
          <w:color w:val="auto"/>
        </w:rPr>
        <w:t>Roy E. Halyama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Executive Vice President &amp; Chief Financial Officer</w:t>
      </w:r>
    </w:p>
    <w:p>
      <w:pPr>
        <w:sectPr>
          <w:pgSz w:w="11900" w:h="16838" w:orient="portrait"/>
          <w:cols w:equalWidth="0" w:num="1">
            <w:col w:w="11240"/>
          </w:cols>
          <w:pgMar w:left="320" w:top="990"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w:t>
      </w:r>
    </w:p>
    <w:p>
      <w:pPr>
        <w:spacing w:after="0" w:line="1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In connection with the Quarterly Report on Form 10-Q of Burke &amp; Herbert Financial Services Corp. (the “Company”) for the period ended March 31, 2026, as filed with the Securities and Exchange Commission on the date hereof (the “Report”), the undersigned, as the Principal Executive Officer of the Company and the Principal Financial Officer of the Company, respectively, certify, pursuant to and for purposes of 18 U.S.C. Section 1350, as adopted pursuant to Section 906 of the Sarbanes-Oxley Act of 2002, that to their knowledge:</w:t>
      </w:r>
    </w:p>
    <w:p>
      <w:pPr>
        <w:spacing w:after="0" w:line="114" w:lineRule="exact"/>
        <w:rPr>
          <w:sz w:val="20"/>
          <w:szCs w:val="20"/>
          <w:color w:val="auto"/>
        </w:rPr>
      </w:pPr>
    </w:p>
    <w:p>
      <w:pPr>
        <w:ind w:left="1600" w:hanging="791"/>
        <w:spacing w:after="0"/>
        <w:tabs>
          <w:tab w:leader="none" w:pos="16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32" w:lineRule="exact"/>
        <w:rPr>
          <w:rFonts w:ascii="Times New Roman" w:cs="Times New Roman" w:eastAsia="Times New Roman" w:hAnsi="Times New Roman"/>
          <w:sz w:val="16"/>
          <w:szCs w:val="16"/>
          <w:color w:val="auto"/>
        </w:rPr>
      </w:pPr>
    </w:p>
    <w:p>
      <w:pPr>
        <w:ind w:left="1600" w:hanging="791"/>
        <w:spacing w:after="0"/>
        <w:tabs>
          <w:tab w:leader="none" w:pos="16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May 8, 2026</w:t>
      </w:r>
      <w:r>
        <w:rPr>
          <w:sz w:val="20"/>
          <w:szCs w:val="20"/>
          <w:color w:val="auto"/>
        </w:rPr>
        <w:tab/>
      </w:r>
      <w:r>
        <w:rPr>
          <w:rFonts w:ascii="Times New Roman" w:cs="Times New Roman" w:eastAsia="Times New Roman" w:hAnsi="Times New Roman"/>
          <w:sz w:val="16"/>
          <w:szCs w:val="16"/>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David P. Boyle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May 8, 2026</w:t>
      </w:r>
      <w:r>
        <w:rPr>
          <w:sz w:val="20"/>
          <w:szCs w:val="20"/>
          <w:color w:val="auto"/>
        </w:rPr>
        <w:tab/>
      </w:r>
      <w:r>
        <w:rPr>
          <w:rFonts w:ascii="Times New Roman" w:cs="Times New Roman" w:eastAsia="Times New Roman" w:hAnsi="Times New Roman"/>
          <w:sz w:val="16"/>
          <w:szCs w:val="16"/>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Roy E. Halyama</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&amp;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o"/>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1)"/>
      <w:numFmt w:val="decimal"/>
      <w:start w:val="1"/>
    </w:lvl>
  </w:abstractNum>
  <w:abstractNum w:abstractNumId="4">
    <w:nsid w:val="6A2342EC"/>
    <w:multiLevelType w:val="hybridMultilevel"/>
    <w:lvl w:ilvl="0">
      <w:lvlJc w:val="left"/>
      <w:lvlText w:val="(%1)"/>
      <w:numFmt w:val="decimal"/>
      <w:start w:val="3"/>
    </w:lvl>
  </w:abstractNum>
  <w:abstractNum w:abstractNumId="5">
    <w:nsid w:val="2A487CB0"/>
    <w:multiLevelType w:val="hybridMultilevel"/>
    <w:lvl w:ilvl="0">
      <w:lvlJc w:val="left"/>
      <w:lvlText w:val="•"/>
      <w:numFmt w:val="bullet"/>
      <w:start w:val="1"/>
    </w:lvl>
    <w:lvl w:ilvl="1">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decimal"/>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1)"/>
      <w:numFmt w:val="decimal"/>
      <w:start w:val="6"/>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1)"/>
      <w:numFmt w:val="decimal"/>
      <w:start w:val="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1)"/>
      <w:numFmt w:val="lowerLetter"/>
      <w:start w:val="1"/>
    </w:lvl>
  </w:abstractNum>
  <w:abstractNum w:abstractNumId="17">
    <w:nsid w:val="684A481A"/>
    <w:multiLevelType w:val="hybridMultilevel"/>
    <w:lvl w:ilvl="0">
      <w:lvlJc w:val="left"/>
      <w:lvlText w:val="(%1)"/>
      <w:numFmt w:val="lowerRoman"/>
      <w:start w:val="1"/>
    </w:lvl>
  </w:abstractNum>
  <w:abstractNum w:abstractNumId="18">
    <w:nsid w:val="579478FE"/>
    <w:multiLevelType w:val="hybridMultilevel"/>
    <w:lvl w:ilvl="0">
      <w:lvlJc w:val="left"/>
      <w:lvlText w:val="(%1)"/>
      <w:numFmt w:val="lowerRoman"/>
      <w:start w:val="2"/>
    </w:lvl>
  </w:abstractNum>
  <w:abstractNum w:abstractNumId="19">
    <w:nsid w:val="749ABB43"/>
    <w:multiLevelType w:val="hybridMultilevel"/>
    <w:lvl w:ilvl="0">
      <w:lvlJc w:val="left"/>
      <w:lvlText w:val="(%1)"/>
      <w:numFmt w:val="lowerLetter"/>
      <w:start w:val="4"/>
    </w:lvl>
  </w:abstractNum>
  <w:abstractNum w:abstractNumId="20">
    <w:nsid w:val="3DC240FB"/>
    <w:multiLevelType w:val="hybridMultilevel"/>
    <w:lvl w:ilvl="0">
      <w:lvlJc w:val="left"/>
      <w:lvlText w:val="(%1)"/>
      <w:numFmt w:val="lowerRoman"/>
      <w:start w:val="1"/>
    </w:lvl>
  </w:abstractNum>
  <w:abstractNum w:abstractNumId="21">
    <w:nsid w:val="1BA026FA"/>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22">
    <w:nsid w:val="79A1DEA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23">
    <w:nsid w:val="75C6C33A"/>
    <w:multiLevelType w:val="hybridMultilevel"/>
    <w:lvl w:ilvl="0">
      <w:lvlJc w:val="left"/>
      <w:lvlText w:val="(%1)"/>
      <w:numFmt w:val="lowerLetter"/>
      <w:start w:val="12"/>
    </w:lvl>
  </w:abstractNum>
  <w:abstractNum w:abstractNumId="24">
    <w:nsid w:val="12E685FB"/>
    <w:multiLevelType w:val="hybridMultilevel"/>
    <w:lvl w:ilvl="0">
      <w:lvlJc w:val="left"/>
      <w:lvlText w:val="(%1)"/>
      <w:numFmt w:val="lowerLetter"/>
      <w:start w:val="1"/>
    </w:lvl>
    <w:lvl w:ilvl="1">
      <w:lvlJc w:val="left"/>
      <w:lvlText w:val="(%2)"/>
      <w:numFmt w:val="lowerRoman"/>
      <w:start w:val="1"/>
    </w:lvl>
  </w:abstractNum>
  <w:abstractNum w:abstractNumId="25">
    <w:nsid w:val="70C6A529"/>
    <w:multiLevelType w:val="hybridMultilevel"/>
    <w:lvl w:ilvl="0">
      <w:lvlJc w:val="left"/>
      <w:lvlText w:val="(%1)"/>
      <w:numFmt w:val="lowerRoman"/>
      <w:start w:val="1"/>
    </w:lvl>
  </w:abstractNum>
  <w:abstractNum w:abstractNumId="26">
    <w:nsid w:val="520EEDD1"/>
    <w:multiLevelType w:val="hybridMultilevel"/>
    <w:lvl w:ilvl="0">
      <w:lvlJc w:val="left"/>
      <w:lvlText w:val="(%1)"/>
      <w:numFmt w:val="lowerLetter"/>
      <w:start w:val="2"/>
    </w:lvl>
  </w:abstractNum>
  <w:abstractNum w:abstractNumId="27">
    <w:nsid w:val="374A3FE6"/>
    <w:multiLevelType w:val="hybridMultilevel"/>
    <w:lvl w:ilvl="0">
      <w:lvlJc w:val="left"/>
      <w:lvlText w:val="(%1)"/>
      <w:numFmt w:val="lowerLetter"/>
      <w:start w:val="1"/>
    </w:lvl>
  </w:abstractNum>
  <w:abstractNum w:abstractNumId="28">
    <w:nsid w:val="4F4EF005"/>
    <w:multiLevelType w:val="hybridMultilevel"/>
    <w:lvl w:ilvl="0">
      <w:lvlJc w:val="left"/>
      <w:lvlText w:val="(%1)"/>
      <w:numFmt w:val="lowerLetter"/>
      <w:start w:val="1"/>
    </w:lvl>
  </w:abstractNum>
  <w:abstractNum w:abstractNumId="29">
    <w:nsid w:val="23F9C13C"/>
    <w:multiLevelType w:val="hybridMultilevel"/>
    <w:lvl w:ilvl="0">
      <w:lvlJc w:val="left"/>
      <w:lvlText w:val="(%1)"/>
      <w:numFmt w:val="lowerLetter"/>
      <w:start w:val="1"/>
    </w:lvl>
  </w:abstractNum>
  <w:abstractNum w:abstractNumId="30">
    <w:nsid w:val="649BB77C"/>
    <w:multiLevelType w:val="hybridMultilevel"/>
    <w:lvl w:ilvl="0">
      <w:lvlJc w:val="left"/>
      <w:lvlText w:val="(%1)"/>
      <w:numFmt w:val="lowerLetter"/>
      <w:start w:val="3"/>
    </w:lvl>
  </w:abstractNum>
  <w:abstractNum w:abstractNumId="31">
    <w:nsid w:val="275AC794"/>
    <w:multiLevelType w:val="hybridMultilevel"/>
    <w:lvl w:ilvl="0">
      <w:lvlJc w:val="left"/>
      <w:lvlText w:val="(%1)"/>
      <w:numFmt w:val="lowerLetter"/>
      <w:start w:val="1"/>
    </w:lvl>
  </w:abstractNum>
  <w:abstractNum w:abstractNumId="32">
    <w:nsid w:val="39386575"/>
    <w:multiLevelType w:val="hybridMultilevel"/>
    <w:lvl w:ilvl="0">
      <w:lvlJc w:val="left"/>
      <w:lvlText w:val="(%1)"/>
      <w:numFmt w:val="lowerLetter"/>
      <w:start w:val="2"/>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1)"/>
      <w:numFmt w:val="lowerLetter"/>
      <w:start w:val="1"/>
    </w:lvl>
    <w:lvl w:ilvl="1">
      <w:lvlJc w:val="left"/>
      <w:lvlText w:val="(%2)"/>
      <w:numFmt w:val="lowerLetter"/>
      <w:start w:val="9"/>
    </w:lvl>
  </w:abstractNum>
  <w:abstractNum w:abstractNumId="35">
    <w:nsid w:val="235BA861"/>
    <w:multiLevelType w:val="hybridMultilevel"/>
    <w:lvl w:ilvl="0">
      <w:lvlJc w:val="left"/>
      <w:lvlText w:val="(%1)"/>
      <w:numFmt w:val="lowerRoman"/>
      <w:start w:val="2"/>
    </w:lvl>
  </w:abstractNum>
  <w:abstractNum w:abstractNumId="36">
    <w:nsid w:val="47398C89"/>
    <w:multiLevelType w:val="hybridMultilevel"/>
    <w:lvl w:ilvl="0">
      <w:lvlJc w:val="left"/>
      <w:lvlText w:val="(%1)"/>
      <w:numFmt w:val="lowerLetter"/>
      <w:start w:val="4"/>
    </w:lvl>
  </w:abstractNum>
  <w:abstractNum w:abstractNumId="37">
    <w:nsid w:val="354FE9F9"/>
    <w:multiLevelType w:val="hybridMultilevel"/>
    <w:lvl w:ilvl="0">
      <w:lvlJc w:val="left"/>
      <w:lvlText w:val="(%1)"/>
      <w:numFmt w:val="lowerRoman"/>
      <w:start w:val="1"/>
    </w:lvl>
  </w:abstractNum>
  <w:abstractNum w:abstractNumId="38">
    <w:nsid w:val="15B5AF5C"/>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39">
    <w:nsid w:val="741226B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40">
    <w:nsid w:val="D34B6A8"/>
    <w:multiLevelType w:val="hybridMultilevel"/>
    <w:lvl w:ilvl="0">
      <w:lvlJc w:val="left"/>
      <w:lvlText w:val="(%1)"/>
      <w:numFmt w:val="lowerRoman"/>
      <w:start w:val="7"/>
    </w:lvl>
  </w:abstractNum>
  <w:abstractNum w:abstractNumId="41">
    <w:nsid w:val="10233C99"/>
    <w:multiLevelType w:val="hybridMultilevel"/>
    <w:lvl w:ilvl="0">
      <w:lvlJc w:val="left"/>
      <w:lvlText w:val="(%1)"/>
      <w:numFmt w:val="lowerLetter"/>
      <w:start w:val="12"/>
    </w:lvl>
  </w:abstractNum>
  <w:abstractNum w:abstractNumId="42">
    <w:nsid w:val="3F6AB60F"/>
    <w:multiLevelType w:val="hybridMultilevel"/>
    <w:lvl w:ilvl="0">
      <w:lvlJc w:val="left"/>
      <w:lvlText w:val="(%1)"/>
      <w:numFmt w:val="lowerLetter"/>
      <w:start w:val="1"/>
    </w:lvl>
  </w:abstractNum>
  <w:abstractNum w:abstractNumId="43">
    <w:nsid w:val="61574095"/>
    <w:multiLevelType w:val="hybridMultilevel"/>
    <w:lvl w:ilvl="0">
      <w:lvlJc w:val="left"/>
      <w:lvlText w:val="(%1)"/>
      <w:numFmt w:val="lowerLetter"/>
      <w:start w:val="1"/>
    </w:lvl>
    <w:lvl w:ilvl="1">
      <w:lvlJc w:val="left"/>
      <w:lvlText w:val="(%2)"/>
      <w:numFmt w:val="lowerLetter"/>
      <w:start w:val="9"/>
    </w:lvl>
  </w:abstractNum>
  <w:abstractNum w:abstractNumId="44">
    <w:nsid w:val="7E0C57B1"/>
    <w:multiLevelType w:val="hybridMultilevel"/>
    <w:lvl w:ilvl="0">
      <w:lvlJc w:val="left"/>
      <w:lvlText w:val="(%1)"/>
      <w:numFmt w:val="lowerRoman"/>
      <w:start w:val="2"/>
    </w:lvl>
  </w:abstractNum>
  <w:abstractNum w:abstractNumId="45">
    <w:nsid w:val="77AE35EB"/>
    <w:multiLevelType w:val="hybridMultilevel"/>
    <w:lvl w:ilvl="0">
      <w:lvlJc w:val="left"/>
      <w:lvlText w:val="(%1)"/>
      <w:numFmt w:val="lowerLetter"/>
      <w:start w:val="1"/>
    </w:lvl>
  </w:abstractNum>
  <w:abstractNum w:abstractNumId="46">
    <w:nsid w:val="579BE4F1"/>
    <w:multiLevelType w:val="hybridMultilevel"/>
    <w:lvl w:ilvl="0">
      <w:lvlJc w:val="left"/>
      <w:lvlText w:val="(%1)"/>
      <w:numFmt w:val="lowerLetter"/>
      <w:start w:val="2"/>
    </w:lvl>
  </w:abstractNum>
  <w:abstractNum w:abstractNumId="47">
    <w:nsid w:val="310C50B3"/>
    <w:multiLevelType w:val="hybridMultilevel"/>
    <w:lvl w:ilvl="0">
      <w:lvlJc w:val="left"/>
      <w:lvlText w:val="(%1)"/>
      <w:numFmt w:val="lowerLetter"/>
      <w:start w:val="1"/>
    </w:lvl>
  </w:abstractNum>
  <w:abstractNum w:abstractNumId="48">
    <w:nsid w:val="5FF87E05"/>
    <w:multiLevelType w:val="hybridMultilevel"/>
    <w:lvl w:ilvl="0">
      <w:lvlJc w:val="left"/>
      <w:lvlText w:val="%1"/>
      <w:numFmt w:val="decimal"/>
      <w:start w:val="1"/>
    </w:lvl>
    <w:lvl w:ilvl="1">
      <w:lvlJc w:val="left"/>
      <w:lvlText w:val="(%2)"/>
      <w:numFmt w:val="lowerLetter"/>
      <w:start w:val="1"/>
    </w:lvl>
  </w:abstractNum>
  <w:abstractNum w:abstractNumId="49">
    <w:nsid w:val="2F305DEF"/>
    <w:multiLevelType w:val="hybridMultilevel"/>
    <w:lvl w:ilvl="0">
      <w:lvlJc w:val="left"/>
      <w:lvlText w:val="(%1)"/>
      <w:numFmt w:val="decimal"/>
      <w:start w:val="65"/>
    </w:lvl>
    <w:lvl w:ilvl="1">
      <w:lvlJc w:val="left"/>
      <w:lvlText w:val="(%2)"/>
      <w:numFmt w:val="lowerLetter"/>
      <w:start w:val="2"/>
    </w:lvl>
  </w:abstractNum>
  <w:abstractNum w:abstractNumId="50">
    <w:nsid w:val="25A70BF7"/>
    <w:multiLevelType w:val="hybridMultilevel"/>
    <w:lvl w:ilvl="0">
      <w:lvlJc w:val="left"/>
      <w:lvlText w:val="(%1)"/>
      <w:numFmt w:val="lowerLetter"/>
      <w:start w:val="1"/>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lowerLetter"/>
      <w:start w:val="2"/>
    </w:lvl>
  </w:abstractNum>
  <w:abstractNum w:abstractNumId="53">
    <w:nsid w:val="1F48EAA1"/>
    <w:multiLevelType w:val="hybridMultilevel"/>
    <w:lvl w:ilvl="0">
      <w:lvlJc w:val="left"/>
      <w:lvlText w:val="(%1)"/>
      <w:numFmt w:val="lowerLetter"/>
      <w:start w:val="1"/>
    </w:lvl>
  </w:abstractNum>
  <w:abstractNum w:abstractNumId="54">
    <w:nsid w:val="1381823A"/>
    <w:multiLevelType w:val="hybridMultilevel"/>
    <w:lvl w:ilvl="0">
      <w:lvlJc w:val="left"/>
      <w:lvlText w:val="(%1)"/>
      <w:numFmt w:val="lowerLetter"/>
      <w:start w:val="8"/>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2"/>
    </w:lvl>
  </w:abstractNum>
  <w:abstractNum w:abstractNumId="57">
    <w:nsid w:val="6590700B"/>
    <w:multiLevelType w:val="hybridMultilevel"/>
    <w:lvl w:ilvl="0">
      <w:lvlJc w:val="left"/>
      <w:lvlText w:val="(%1)"/>
      <w:numFmt w:val="lowerLetter"/>
      <w:start w:val="2"/>
    </w:lvl>
  </w:abstractNum>
  <w:abstractNum w:abstractNumId="58">
    <w:nsid w:val="15014ACB"/>
    <w:multiLevelType w:val="hybridMultilevel"/>
    <w:lvl w:ilvl="0">
      <w:lvlJc w:val="left"/>
      <w:lvlText w:val="(%1)"/>
      <w:numFmt w:val="lowerRoman"/>
      <w:start w:val="2"/>
    </w:lvl>
  </w:abstractNum>
  <w:abstractNum w:abstractNumId="59">
    <w:nsid w:val="5F5E7FD0"/>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60">
    <w:nsid w:val="98A3148"/>
    <w:multiLevelType w:val="hybridMultilevel"/>
    <w:lvl w:ilvl="0">
      <w:lvlJc w:val="left"/>
      <w:lvlText w:val="(%1)"/>
      <w:numFmt w:val="lowerRoman"/>
      <w:start w:val="2"/>
    </w:lvl>
  </w:abstractNum>
  <w:abstractNum w:abstractNumId="61">
    <w:nsid w:val="799D0247"/>
    <w:multiLevelType w:val="hybridMultilevel"/>
    <w:lvl w:ilvl="0">
      <w:lvlJc w:val="left"/>
      <w:lvlText w:val="(%1)"/>
      <w:numFmt w:val="lowerRoman"/>
      <w:start w:val="4"/>
    </w:lvl>
  </w:abstractNum>
  <w:abstractNum w:abstractNumId="62">
    <w:nsid w:val="6B94764"/>
    <w:multiLevelType w:val="hybridMultilevel"/>
    <w:lvl w:ilvl="0">
      <w:lvlJc w:val="left"/>
      <w:lvlText w:val="%1"/>
      <w:numFmt w:val="lowerLetter"/>
      <w:start w:val="1"/>
    </w:lvl>
    <w:lvl w:ilvl="1">
      <w:lvlJc w:val="left"/>
      <w:lvlText w:val="(%2)"/>
      <w:numFmt w:val="lowerLetter"/>
      <w:start w:val="2"/>
    </w:lvl>
  </w:abstractNum>
  <w:abstractNum w:abstractNumId="63">
    <w:nsid w:val="42C296BD"/>
    <w:multiLevelType w:val="hybridMultilevel"/>
    <w:lvl w:ilvl="0">
      <w:lvlJc w:val="left"/>
      <w:lvlText w:val="(%1)"/>
      <w:numFmt w:val="lowerLetter"/>
      <w:start w:val="9"/>
    </w:lvl>
    <w:lvl w:ilvl="1">
      <w:lvlJc w:val="left"/>
      <w:lvlText w:val="%2"/>
      <w:numFmt w:val="lowerLetter"/>
      <w:start w:val="1"/>
    </w:lvl>
  </w:abstractNum>
  <w:abstractNum w:abstractNumId="64">
    <w:nsid w:val="168E121F"/>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65">
    <w:nsid w:val="1EBA5D23"/>
    <w:multiLevelType w:val="hybridMultilevel"/>
    <w:lvl w:ilvl="0">
      <w:lvlJc w:val="left"/>
      <w:lvlText w:val="(%1)"/>
      <w:numFmt w:val="lowerLetter"/>
      <w:start w:val="61"/>
    </w:lvl>
    <w:lvl w:ilvl="1">
      <w:lvlJc w:val="left"/>
      <w:lvlText w:val="(%2)"/>
      <w:numFmt w:val="lowerRoman"/>
    </w:lvl>
    <w:lvl w:ilvl="2">
      <w:lvlJc w:val="left"/>
      <w:lvlText w:val="(%3)"/>
      <w:numFmt w:val="lowerLetter"/>
      <w:start w:val="3"/>
    </w:lvl>
  </w:abstractNum>
  <w:abstractNum w:abstractNumId="66">
    <w:nsid w:val="661E3F1E"/>
    <w:multiLevelType w:val="hybridMultilevel"/>
    <w:lvl w:ilvl="0">
      <w:lvlJc w:val="left"/>
      <w:lvlText w:val="(%1)"/>
      <w:numFmt w:val="lowerRoman"/>
      <w:start w:val="2"/>
    </w:lvl>
    <w:lvl w:ilvl="1">
      <w:lvlJc w:val="left"/>
      <w:lvlText w:val="(%2)"/>
      <w:numFmt w:val="lowerLetter"/>
      <w:start w:val="4"/>
    </w:lvl>
  </w:abstractNum>
  <w:abstractNum w:abstractNumId="67">
    <w:nsid w:val="5DC79EA8"/>
    <w:multiLevelType w:val="hybridMultilevel"/>
    <w:lvl w:ilvl="0">
      <w:lvlJc w:val="left"/>
      <w:lvlText w:val="%1."/>
      <w:numFmt w:val="decimal"/>
      <w:start w:val="3"/>
    </w:lvl>
    <w:lvl w:ilvl="1">
      <w:lvlJc w:val="left"/>
      <w:lvlText w:val="(%2)"/>
      <w:numFmt w:val="lowerLetter"/>
      <w:start w:val="1"/>
    </w:lvl>
  </w:abstractNum>
  <w:abstractNum w:abstractNumId="68">
    <w:nsid w:val="540A471C"/>
    <w:multiLevelType w:val="hybridMultilevel"/>
    <w:lvl w:ilvl="0">
      <w:lvlJc w:val="left"/>
      <w:lvlText w:val="(%1)"/>
      <w:numFmt w:val="lowerLetter"/>
      <w:start w:val="4"/>
    </w:lvl>
  </w:abstractNum>
  <w:abstractNum w:abstractNumId="69">
    <w:nsid w:val="7BD3EE7B"/>
    <w:multiLevelType w:val="hybridMultilevel"/>
    <w:lvl w:ilvl="0">
      <w:lvlJc w:val="left"/>
      <w:lvlText w:val="(%1)"/>
      <w:numFmt w:val="lowerLetter"/>
      <w:start w:val="7"/>
    </w:lvl>
    <w:lvl w:ilvl="1">
      <w:lvlJc w:val="left"/>
      <w:lvlText w:val="(%2)"/>
      <w:numFmt w:val="lowerRoman"/>
      <w:start w:val="1"/>
    </w:lvl>
  </w:abstractNum>
  <w:abstractNum w:abstractNumId="70">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71">
    <w:nsid w:val="613EFDC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2">
    <w:nsid w:val="BF72B14"/>
    <w:multiLevelType w:val="hybridMultilevel"/>
    <w:lvl w:ilvl="0">
      <w:lvlJc w:val="left"/>
      <w:lvlText w:val="%1."/>
      <w:numFmt w:val="decimal"/>
      <w:start w:val="9"/>
    </w:lvl>
  </w:abstractNum>
  <w:abstractNum w:abstractNumId="73">
    <w:nsid w:val="11447B73"/>
    <w:multiLevelType w:val="hybridMultilevel"/>
    <w:lvl w:ilvl="0">
      <w:lvlJc w:val="left"/>
      <w:lvlText w:val="%1."/>
      <w:numFmt w:val="decimal"/>
      <w:start w:val="18"/>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78">
    <w:nsid w:val="3B0FD37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92" Type="http://schemas.openxmlformats.org/officeDocument/2006/relationships/hyperlink" Target="https://www.sec.gov/Archives/edgar/data/1964333/000196433325000256/exhibit21-agreementandplan.htm" TargetMode="External"/><Relationship Id="rId93" Type="http://schemas.openxmlformats.org/officeDocument/2006/relationships/hyperlink" Target="https://www.sec.gov/Archives/edgar/data/1964333/000196433324000316/bhrb-compiledarticlesofinc.htm" TargetMode="External"/><Relationship Id="rId94" Type="http://schemas.openxmlformats.org/officeDocument/2006/relationships/hyperlink" Target="https://www.sec.gov/Archives/edgar/data/1964333/000196433326000060/exhibit31-bylawsamendmentx.htm" TargetMode="External"/><Relationship Id="rId95" Type="http://schemas.openxmlformats.org/officeDocument/2006/relationships/hyperlink" Target="https://www.sec.gov/Archives/edgar/data/811808/000081180809000012/hcmexecsalcontagmt.htm" TargetMode="External"/><Relationship Id="rId96" Type="http://schemas.openxmlformats.org/officeDocument/2006/relationships/hyperlink" Target="https://www.sec.gov/Archives/edgar/data/811808/000081180812000015/amendtoexecsalcontagtritchie.htm" TargetMode="External"/><Relationship Id="rId97" Type="http://schemas.openxmlformats.org/officeDocument/2006/relationships/hyperlink" Target="https://www.sec.gov/Archives/edgar/data/811808/000081180809000012/execsalco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2026-05-08T07:36:41Z</dcterms:created>
  <dcterms:modified xsi:type="dcterms:W3CDTF">2026-05-08T07:36:41Z</dcterms:modified>
</cp:coreProperties>
</file>