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55803.xml.htm"/>
      <w:bookmarkStart w:id="1" w:name="kswkform4_17865558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Burke James Mason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SOUTH FAIRFAX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ALEXANDRIA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22314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Burke &amp; Herbert Financial Services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BHRB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59"/>
        <w:gridCol w:w="915"/>
        <w:gridCol w:w="784"/>
        <w:gridCol w:w="607"/>
        <w:gridCol w:w="345"/>
        <w:gridCol w:w="827"/>
        <w:gridCol w:w="436"/>
        <w:gridCol w:w="845"/>
        <w:gridCol w:w="1138"/>
        <w:gridCol w:w="981"/>
        <w:gridCol w:w="116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5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5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5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73.025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258,480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co-Trustee for The Burke Living Trust</w:t>
            </w:r>
          </w:p>
        </w:tc>
      </w:tr>
      <w:tr>
        <w:trPr/>
        <w:tc>
          <w:tcPr>
            <w:tcW w:w="215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9,480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Rucker, as Attorney-in-Fact for James M. Burke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4477" TargetMode="External"/><Relationship Id="rId5" Type="http://schemas.openxmlformats.org/officeDocument/2006/relationships/hyperlink" Target="http://www.sec.gov/cgi-bin/browse-edgar?action=getcompany&amp;CIK=00019643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580</Words>
  <Characters>3151</Characters>
  <CharactersWithSpaces>3661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