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5875d4_8k.htm"/>
      <w:bookmarkStart w:id="1" w:name="kstm2625875d4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2_edei--DocumentType_c20260928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5_edei--DocumentPeriodEndDate_c202"/>
      <w:bookmarkEnd w:id="3"/>
      <w:r>
        <w:rPr>
          <w:rFonts w:ascii="Times New Roman;Times;Serif" w:hAnsi="Times New Roman;Times;Serif"/>
          <w:b/>
          <w:i w:val="false"/>
          <w:caps w:val="false"/>
          <w:smallCaps w:val="false"/>
          <w:sz w:val="20"/>
        </w:rPr>
        <w:t>September 28, 2026</w:t>
        <w:b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E_edei--EntityRegistrantName_c2026"/>
      <w:bookmarkEnd w:id="4"/>
      <w:r>
        <w:rPr>
          <w:rFonts w:ascii="Times New Roman;Times;Serif" w:hAnsi="Times New Roman;Times;Serif"/>
          <w:b/>
          <w:i w:val="false"/>
          <w:caps w:val="false"/>
          <w:smallCaps w:val="false"/>
          <w:sz w:val="28"/>
        </w:rPr>
        <w:t>Burke &amp; Herbert Financial Services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2270"/>
        <w:gridCol w:w="1145"/>
        <w:gridCol w:w="1565"/>
      </w:tblGrid>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Virginia</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6_edei--EntityFileNumber_c20260928"/>
            <w:bookmarkEnd w:id="6"/>
            <w:r>
              <w:rPr>
                <w:rFonts w:ascii="Times New Roman;Times;Serif" w:hAnsi="Times New Roman;Times;Serif"/>
                <w:b/>
                <w:sz w:val="20"/>
              </w:rPr>
              <w:t>001-41633</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E_edei--EntityTaxIdentificationNum"/>
            <w:bookmarkEnd w:id="7"/>
            <w:r>
              <w:rPr>
                <w:rFonts w:ascii="Times New Roman;Times;Serif" w:hAnsi="Times New Roman;Times;Serif"/>
                <w:b/>
                <w:sz w:val="20"/>
              </w:rPr>
              <w:t>92-0289417</w:t>
            </w:r>
          </w:p>
        </w:tc>
      </w:tr>
      <w:tr>
        <w:trPr/>
        <w:tc>
          <w:tcPr>
            <w:tcW w:w="22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r>
          </w:p>
        </w:tc>
        <w:tc>
          <w:tcPr>
            <w:tcW w:w="11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r>
          </w:p>
        </w:tc>
      </w:tr>
      <w:tr>
        <w:trPr/>
        <w:tc>
          <w:tcPr>
            <w:tcW w:w="22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 incorporation)</w:t>
            </w:r>
          </w:p>
        </w:tc>
        <w:tc>
          <w:tcPr>
            <w:tcW w:w="11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 Number)</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100 S. Fairfax Street</w:t>
        <w:br/>
      </w:r>
      <w:bookmarkStart w:id="9" w:name="xdx_903_edei--EntityAddressCityOrTown_c2"/>
      <w:bookmarkEnd w:id="9"/>
      <w:r>
        <w:rPr>
          <w:rFonts w:ascii="Times New Roman;Times;Serif" w:hAnsi="Times New Roman;Times;Serif"/>
          <w:b/>
          <w:i w:val="false"/>
          <w:caps w:val="false"/>
          <w:smallCaps w:val="false"/>
          <w:sz w:val="20"/>
        </w:rPr>
        <w:t xml:space="preserve">Alexandria, </w:t>
      </w:r>
      <w:bookmarkStart w:id="10" w:name="xdx_90A_edei--EntityAddressStateOrProvin"/>
      <w:bookmarkEnd w:id="10"/>
      <w:r>
        <w:rPr>
          <w:rFonts w:ascii="Times New Roman;Times;Serif" w:hAnsi="Times New Roman;Times;Serif"/>
          <w:b/>
          <w:i w:val="false"/>
          <w:caps w:val="false"/>
          <w:smallCaps w:val="false"/>
          <w:sz w:val="20"/>
        </w:rPr>
        <w:t xml:space="preserve">VA </w:t>
      </w:r>
      <w:bookmarkStart w:id="11" w:name="xdx_90C_edei--EntityAddressPostalZipCode"/>
      <w:bookmarkEnd w:id="11"/>
      <w:r>
        <w:rPr>
          <w:rFonts w:ascii="Times New Roman;Times;Serif" w:hAnsi="Times New Roman;Times;Serif"/>
          <w:b/>
          <w:i w:val="false"/>
          <w:caps w:val="false"/>
          <w:smallCaps w:val="false"/>
          <w:sz w:val="20"/>
        </w:rPr>
        <w:t>22314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9_edei--CityAreaCode_c20260928__20"/>
      <w:bookmarkEnd w:id="12"/>
      <w:r>
        <w:rPr>
          <w:rFonts w:ascii="Times New Roman;Times;Serif" w:hAnsi="Times New Roman;Times;Serif"/>
          <w:b/>
          <w:i w:val="false"/>
          <w:caps w:val="false"/>
          <w:smallCaps w:val="false"/>
          <w:sz w:val="20"/>
        </w:rPr>
        <w:t>703) </w:t>
      </w:r>
      <w:bookmarkStart w:id="13" w:name="xdx_907_edei--LocalPhoneNumber_c20260928"/>
      <w:bookmarkEnd w:id="13"/>
      <w:r>
        <w:rPr>
          <w:rFonts w:ascii="Times New Roman;Times;Serif" w:hAnsi="Times New Roman;Times;Serif"/>
          <w:b/>
          <w:i w:val="false"/>
          <w:caps w:val="false"/>
          <w:smallCaps w:val="false"/>
          <w:sz w:val="20"/>
        </w:rPr>
        <w:t>666-3555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23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3_edei--WrittenCommunications_c202"/>
            <w:bookmarkEnd w:id="14"/>
            <w:r>
              <w:rPr/>
              <w:t>☐</w:t>
            </w:r>
          </w:p>
        </w:tc>
        <w:tc>
          <w:tcPr>
            <w:tcW w:w="75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Written communications pursuant to Rule 425 under the Securities Act (17 CFR 230.425)</w:t>
            </w:r>
          </w:p>
        </w:tc>
      </w:tr>
    </w:tbl>
    <w:p>
      <w:pPr>
        <w:pStyle w:val="TextBody"/>
        <w:bidi w:val="0"/>
        <w:spacing w:before="0" w:after="0"/>
        <w:ind w:left="720" w:right="0" w:hanging="0"/>
        <w:jc w:val="left"/>
        <w:rPr>
          <w:caps w:val="false"/>
          <w:smallCaps w:val="false"/>
        </w:rPr>
      </w:pPr>
      <w:r>
        <w:rPr>
          <w:caps w:val="false"/>
          <w:smallCaps w:val="false"/>
        </w:rPr>
        <w:t> </w:t>
      </w:r>
    </w:p>
    <w:tbl>
      <w:tblPr>
        <w:tblW w:w="7818" w:type="dxa"/>
        <w:jc w:val="left"/>
        <w:tblInd w:w="0" w:type="dxa"/>
        <w:tblLayout w:type="fixed"/>
        <w:tblCellMar>
          <w:top w:w="0" w:type="dxa"/>
          <w:left w:w="0" w:type="dxa"/>
          <w:bottom w:w="0" w:type="dxa"/>
          <w:right w:w="0" w:type="dxa"/>
        </w:tblCellMar>
      </w:tblPr>
      <w:tblGrid>
        <w:gridCol w:w="38"/>
        <w:gridCol w:w="230"/>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E_edei--SolicitingMaterial_c202609"/>
            <w:bookmarkEnd w:id="15"/>
            <w:r>
              <w:rPr/>
              <w:t>☐</w:t>
            </w:r>
          </w:p>
        </w:tc>
        <w:tc>
          <w:tcPr>
            <w:tcW w:w="75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Soliciting material pursuant to Rule 14a-12 under the Exchange Act (17 CFR 240.14a-12)</w:t>
            </w:r>
          </w:p>
        </w:tc>
      </w:tr>
    </w:tbl>
    <w:p>
      <w:pPr>
        <w:pStyle w:val="TextBody"/>
        <w:bidi w:val="0"/>
        <w:spacing w:before="0" w:after="0"/>
        <w:ind w:left="720" w:right="0" w:hanging="0"/>
        <w:jc w:val="left"/>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23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A_edei--PreCommencementTenderOffer"/>
            <w:bookmarkEnd w:id="16"/>
            <w:r>
              <w:rPr/>
              <w:t>☐</w:t>
            </w:r>
          </w:p>
        </w:tc>
        <w:tc>
          <w:tcPr>
            <w:tcW w:w="93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Pre-commencement communications pursuant to Rule 14d-2(b) under the Exchange Act (17 CFR 240.14d-2(b))</w:t>
            </w:r>
          </w:p>
        </w:tc>
      </w:tr>
    </w:tbl>
    <w:p>
      <w:pPr>
        <w:pStyle w:val="TextBody"/>
        <w:bidi w:val="0"/>
        <w:spacing w:before="0" w:after="0"/>
        <w:ind w:left="720" w:right="0" w:hanging="0"/>
        <w:jc w:val="left"/>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38"/>
        <w:gridCol w:w="230"/>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C_edei--PreCommencementIssuerTende"/>
            <w:bookmarkEnd w:id="17"/>
            <w:r>
              <w:rPr/>
              <w:t>☐</w:t>
            </w:r>
          </w:p>
        </w:tc>
        <w:tc>
          <w:tcPr>
            <w:tcW w:w="92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tbl>
      <w:tblPr>
        <w:tblW w:w="8235" w:type="dxa"/>
        <w:jc w:val="left"/>
        <w:tblInd w:w="0" w:type="dxa"/>
        <w:tblLayout w:type="fixed"/>
        <w:tblCellMar>
          <w:top w:w="0" w:type="dxa"/>
          <w:left w:w="0" w:type="dxa"/>
          <w:bottom w:w="0" w:type="dxa"/>
          <w:right w:w="0" w:type="dxa"/>
        </w:tblCellMar>
      </w:tblPr>
      <w:tblGrid>
        <w:gridCol w:w="2735"/>
        <w:gridCol w:w="60"/>
        <w:gridCol w:w="1610"/>
        <w:gridCol w:w="120"/>
        <w:gridCol w:w="3710"/>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Title of each class</w:t>
            </w:r>
          </w:p>
        </w:tc>
        <w:tc>
          <w:tcPr>
            <w:tcW w:w="6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Trading Symbol(s)</w:t>
            </w:r>
          </w:p>
        </w:tc>
        <w:tc>
          <w:tcPr>
            <w:tcW w:w="120" w:type="dxa"/>
            <w:tcBorders/>
            <w:vAlign w:val="center"/>
          </w:tcPr>
          <w:p>
            <w:pPr>
              <w:pStyle w:val="TableContents"/>
              <w:bidi w:val="0"/>
              <w:spacing w:before="0" w:after="283"/>
              <w:jc w:val="center"/>
              <w:rPr/>
            </w:pPr>
            <w:r>
              <w:rPr/>
              <w:t>  </w:t>
            </w:r>
          </w:p>
        </w:tc>
        <w:tc>
          <w:tcPr>
            <w:tcW w:w="371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Name of each exchange on which registered</w:t>
            </w:r>
          </w:p>
        </w:tc>
      </w:tr>
      <w:tr>
        <w:trPr/>
        <w:tc>
          <w:tcPr>
            <w:tcW w:w="2735" w:type="dxa"/>
            <w:tcBorders/>
            <w:vAlign w:val="center"/>
          </w:tcPr>
          <w:p>
            <w:pPr>
              <w:pStyle w:val="TableContents"/>
              <w:bidi w:val="0"/>
              <w:spacing w:before="0" w:after="283"/>
              <w:jc w:val="center"/>
              <w:rPr>
                <w:rFonts w:ascii="Times New Roman;Times;Serif" w:hAnsi="Times New Roman;Times;Serif"/>
                <w:b/>
                <w:sz w:val="20"/>
              </w:rPr>
            </w:pPr>
            <w:bookmarkStart w:id="18" w:name="xdx_904_edei--Security12bTitle_c20260928"/>
            <w:bookmarkEnd w:id="18"/>
            <w:r>
              <w:rPr>
                <w:rFonts w:ascii="Times New Roman;Times;Serif" w:hAnsi="Times New Roman;Times;Serif"/>
                <w:b/>
                <w:sz w:val="20"/>
              </w:rPr>
              <w:t>Common Stock, par value $0.50</w:t>
            </w:r>
          </w:p>
        </w:tc>
        <w:tc>
          <w:tcPr>
            <w:tcW w:w="6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rFonts w:ascii="Times New Roman;Times;Serif" w:hAnsi="Times New Roman;Times;Serif"/>
                <w:b/>
                <w:sz w:val="20"/>
              </w:rPr>
            </w:pPr>
            <w:bookmarkStart w:id="19" w:name="xdx_902_edei--TradingSymbol_c20260928__2"/>
            <w:bookmarkEnd w:id="19"/>
            <w:r>
              <w:rPr>
                <w:rFonts w:ascii="Times New Roman;Times;Serif" w:hAnsi="Times New Roman;Times;Serif"/>
                <w:b/>
                <w:sz w:val="20"/>
              </w:rPr>
              <w:t>BHRB</w:t>
            </w:r>
          </w:p>
        </w:tc>
        <w:tc>
          <w:tcPr>
            <w:tcW w:w="120" w:type="dxa"/>
            <w:tcBorders/>
            <w:vAlign w:val="center"/>
          </w:tcPr>
          <w:p>
            <w:pPr>
              <w:pStyle w:val="TableContents"/>
              <w:bidi w:val="0"/>
              <w:spacing w:before="0" w:after="283"/>
              <w:jc w:val="center"/>
              <w:rPr/>
            </w:pPr>
            <w:r>
              <w:rPr/>
              <w:t> </w:t>
            </w:r>
          </w:p>
        </w:tc>
        <w:tc>
          <w:tcPr>
            <w:tcW w:w="3710" w:type="dxa"/>
            <w:tcBorders/>
            <w:vAlign w:val="center"/>
          </w:tcPr>
          <w:p>
            <w:pPr>
              <w:pStyle w:val="TableContents"/>
              <w:bidi w:val="0"/>
              <w:spacing w:before="0" w:after="283"/>
              <w:jc w:val="center"/>
              <w:rPr>
                <w:rFonts w:ascii="Times New Roman;Times;Serif" w:hAnsi="Times New Roman;Times;Serif"/>
                <w:b/>
                <w:sz w:val="20"/>
              </w:rPr>
            </w:pPr>
            <w:bookmarkStart w:id="20" w:name="xdx_908_edei--SecurityExchangeName_c2026"/>
            <w:bookmarkEnd w:id="20"/>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2360"/>
        <w:gridCol w:w="245"/>
      </w:tblGrid>
      <w:tr>
        <w:trPr/>
        <w:tc>
          <w:tcPr>
            <w:tcW w:w="23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Emerging growth company</w:t>
            </w:r>
          </w:p>
        </w:tc>
        <w:tc>
          <w:tcPr>
            <w:tcW w:w="245" w:type="dxa"/>
            <w:tcBorders/>
            <w:vAlign w:val="center"/>
          </w:tcPr>
          <w:p>
            <w:pPr>
              <w:pStyle w:val="TableContents"/>
              <w:bidi w:val="0"/>
              <w:spacing w:before="0" w:after="283"/>
              <w:jc w:val="left"/>
              <w:rPr/>
            </w:pPr>
            <w:bookmarkStart w:id="21" w:name="xdx_903_edei--EntityEmergingGrowthCompan"/>
            <w:bookmarkEnd w:id="21"/>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245" w:type="dxa"/>
            <w:tcBorders/>
            <w:vAlign w:val="center"/>
          </w:tcPr>
          <w:p>
            <w:pPr>
              <w:pStyle w:val="TableContents"/>
              <w:bidi w:val="0"/>
              <w:spacing w:before="0" w:after="283"/>
              <w:jc w:val="righ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96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both"/>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Burke &amp; Herbert Financial Services Corp. (“we”, “us” or the “Company”), completed its previously announced underwritten public offering (the “Offering”) of $100,000,000 aggregate principal amount of its 7.00% Fixed-to-Floating Rate Subordinated Notes due 2036 (the “Notes”). The Notes are offered pursuant to the Company’s Registration Statement on Form S-3 (File No. 333-283261), as amended (including base prospectus, the “Registration Statement”) under the Securities Act of 1933, as amended (the “Securities Act”), which was filed with the Securities and Exchange Commission (the “SEC”) and subsequently declared effective on December 11, 2024, and were offered to the public pursuant to the prospectus supplement, dated September 28, 2026, which is contained in and forms a part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Company entered into an underwriting agreement, dated as of September 28, 2026 (the “Underwriting Agreement”) with Keefe, Bruyette &amp; Woods, Inc., as sole underwriter, with respect to the offer and sale of the Notes at a public offering price equal to 100.00% of the aggregate principal amount of the Notes. The Underwriting Agreement contains customary representations, warranties and agreements of the Company, and customary conditions to closing, obligations of the parties and termination provisions. A copy of the Underwriting Agreement is filed as Exhibit 1.1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this offering, plus cash on hand: (i) to repay $4.5 million aggregate principal amount of its outstanding 6.875% Subordinated Note, which matures on April 1, 2028 (the “2028 Note”), $18.1 million aggregate principal amount of its outstanding 6.00% Fixed-to-Floating Rate Subordinated Notes, which currently bear interest at the Three-Month Term SOFR plus 590 basis points and mature on July 1, 2030 (the “July 2030 Notes”), and $20.0 million aggregate principal amount of its outstanding 5.00% Fixed-to-Floating Rate Subordinated Notes, which currently bear interest at the Three-Month Term SOFR plus 475 basis points and mature on October 1, 2030, plus, in each case, accrued and unpaid interest, (ii) to potentially repay all or part of its outstanding $75.0 million aggregate principal amount of 3.25% Fixed-to-Floating Rate Subordinated Notes, which currently bear interest at the fixed rate of 3.25% per year and mature on December 1, 2031, plus accrued and unpaid interest, (iii) to potentially redeem all or part of its outstanding $15.0 million aggregate liquidation preference of 2021 Preferred Stock, which has dividends payable in arrears, when, as and if authorized and declared by the board of directors of the Company out of legally available funds, on a non-cumulative basis at the $10,000 per share purchase price, at an annual rate equal to 6.00% and (iv) for general corporate purposes, including providing capital to Burke &amp; Herbert Bank &amp; Trust Company (the “Bank”) to support its growth. A conditional notice of redemption was delivered to the holders of the Company’s July 2030 Notes with respect to the redemption of all of the outstanding principal amount of such notes. A notice of prepayment was delivered to the holder of the 2028 Note but is not contingent on this offering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issued pursuant to a Subordinated Indenture, dated as of September 30, 2026 (the “Base Indenture”), by and between the Company and Wilmington Trust, National Association, as trustee (in such capacity, the “Trustee”), as supplemented by a First Supplemental Indenture thereto, dated as of September 30, 2026 (the “First Supplemental Indenture”), between the Company and the Trustee. The Notes are subordinated, unsecured obligations of the Company and: (i) rank junior to all of the Company's existing and future senior debt; (ii) rank equal in right of payment with any of the Company’s existing and future subordinated indebtedness; (iii) will rank senior to our obligations relating to any outstanding junior subordinated debt securities issued to our capital trust subsidiaries; (iv) are effectively subordinate to the Company's secured indebtedness to the extent of the value of the collateral securing such indebtedness; and (v) are structurally subordinated to any existing and future obligations of the Company’s subsidiaries, including deposit liabilities and claims of other creditors of the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bear interest from and including September 30, 2026 to, but excluding, October 1, 2031 at a fixed rate of 7.00% per annum, payable semi-annually in arrears on April 1 and October 1 of each year, commencing on April 1, 2027. From and including October 1, 2031 to, but excluding, October 1, 2036 (unless redeemed prior to such date), the Notes will bear interest at a floating rate per annum equal to a benchmark rate (reset quarterly) (which is expected to be Three-Month Term SOFR) plus 222 basis points, payable quarterly in arrears on January 1, April 1, July 1 and October 1 of each year, commencing on January 1, 2032. Notwithstanding the foregoing, if the benchmark is less than zero, the benchmark will be deemed to be zero. The Notes will mature on October 1, 2036, unless earlier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may be redeemed at our option, beginning on October 1, 2031, and on any interest payment date thereafter, in whole or in part, at a redemption price equal to 100% of the principal amount of the Notes to be redeemed, plus accrued and unpaid interest to, but excluding, the date of redemption. Any partial redemption will be made in accordance with the applicable procedures of The Depository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summaries of the Underwriting Agreement, Base Indenture, the First Supplemental Indenture and the Notes, respectively, are not complete and are each qualified in their entirety by reference to the complete text of the respective documents (or, in the case of the Notes, the form thereof), which are attached as Exhibits 1.1, 4.1, 4.2 and 4.3, respectively, to this Current Report on Form 8-K and incorporated herein by reference in their entirety. Troutman Pepper Locke LLP provided the Company with the legal opinion attached hereto as Exhibit 5.1 regarding the legality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96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both"/>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2026, the Company issued a press release announcing the pricing for the Offering. A copy of the press release is furnished as Exhibit 99.1 to this Current Report on Form 8-K and is incorporated herein solely for informational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under this Item 7.01, including in Exhibit 99.1, is being furnished pursuant to Item 7.01 of Form 8-K and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w:t>
      </w:r>
    </w:p>
    <w:p>
      <w:pPr>
        <w:pStyle w:val="TextBody"/>
        <w:bidi w:val="0"/>
        <w:spacing w:before="0" w:after="0"/>
        <w:ind w:left="0" w:right="0" w:hanging="0"/>
        <w:jc w:val="left"/>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965"/>
        <w:gridCol w:w="422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4220" w:type="dxa"/>
            <w:tcBorders/>
            <w:vAlign w:val="center"/>
          </w:tcPr>
          <w:p>
            <w:pPr>
              <w:pStyle w:val="TableContents"/>
              <w:bidi w:val="0"/>
              <w:spacing w:before="0" w:after="283"/>
              <w:jc w:val="both"/>
              <w:rPr>
                <w:b/>
              </w:rPr>
            </w:pPr>
            <w:r>
              <w:rPr>
                <w:b/>
              </w:rPr>
              <w:t>Financial Statements and Other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following exhibits are being filed herewith: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0"/>
        <w:gridCol w:w="9225"/>
      </w:tblGrid>
      <w:tr>
        <w:trPr/>
        <w:tc>
          <w:tcPr>
            <w:tcW w:w="98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Exhibit No.</w:t>
            </w:r>
          </w:p>
        </w:tc>
        <w:tc>
          <w:tcPr>
            <w:tcW w:w="922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Description</w:t>
            </w:r>
          </w:p>
        </w:tc>
      </w:tr>
      <w:tr>
        <w:trPr/>
        <w:tc>
          <w:tcPr>
            <w:tcW w:w="980" w:type="dxa"/>
            <w:tcBorders/>
            <w:vAlign w:val="center"/>
          </w:tcPr>
          <w:p>
            <w:pPr>
              <w:pStyle w:val="TableContents"/>
              <w:bidi w:val="0"/>
              <w:spacing w:before="0" w:after="283"/>
              <w:jc w:val="both"/>
              <w:rPr/>
            </w:pPr>
            <w:hyperlink w:anchor="tm2625875d4_ex1-1.htm">
              <w:r>
                <w:rPr>
                  <w:rStyle w:val="InternetLink"/>
                  <w:rFonts w:ascii="Times New Roman;Times;Serif" w:hAnsi="Times New Roman;Times;Serif"/>
                  <w:sz w:val="20"/>
                </w:rPr>
                <w:t>1.1</w:t>
              </w:r>
            </w:hyperlink>
          </w:p>
        </w:tc>
        <w:tc>
          <w:tcPr>
            <w:tcW w:w="9225" w:type="dxa"/>
            <w:tcBorders/>
            <w:vAlign w:val="center"/>
          </w:tcPr>
          <w:p>
            <w:pPr>
              <w:pStyle w:val="TableContents"/>
              <w:bidi w:val="0"/>
              <w:spacing w:before="0" w:after="283"/>
              <w:jc w:val="both"/>
              <w:rPr/>
            </w:pPr>
            <w:hyperlink w:anchor="tm2625875d4_ex1-1.htm">
              <w:r>
                <w:rPr>
                  <w:rStyle w:val="InternetLink"/>
                  <w:rFonts w:ascii="Times New Roman;Times;Serif" w:hAnsi="Times New Roman;Times;Serif"/>
                  <w:sz w:val="20"/>
                </w:rPr>
                <w:t>Underwriting Agreement, dated September 28, 2026, between Burke &amp; Herbert Financial Services Corp. and Keefe, Bruyette &amp; Woods, Inc.</w:t>
              </w:r>
            </w:hyperlink>
          </w:p>
        </w:tc>
      </w:tr>
      <w:tr>
        <w:trPr/>
        <w:tc>
          <w:tcPr>
            <w:tcW w:w="980" w:type="dxa"/>
            <w:tcBorders/>
            <w:vAlign w:val="center"/>
          </w:tcPr>
          <w:p>
            <w:pPr>
              <w:pStyle w:val="TableContents"/>
              <w:bidi w:val="0"/>
              <w:spacing w:before="0" w:after="283"/>
              <w:jc w:val="both"/>
              <w:rPr/>
            </w:pPr>
            <w:hyperlink w:anchor="tm2625875d4_ex4-1.htm">
              <w:r>
                <w:rPr>
                  <w:rStyle w:val="InternetLink"/>
                  <w:rFonts w:ascii="Times New Roman;Times;Serif" w:hAnsi="Times New Roman;Times;Serif"/>
                  <w:sz w:val="20"/>
                </w:rPr>
                <w:t>4.1</w:t>
              </w:r>
            </w:hyperlink>
          </w:p>
        </w:tc>
        <w:tc>
          <w:tcPr>
            <w:tcW w:w="9225" w:type="dxa"/>
            <w:tcBorders/>
            <w:vAlign w:val="center"/>
          </w:tcPr>
          <w:p>
            <w:pPr>
              <w:pStyle w:val="TableContents"/>
              <w:bidi w:val="0"/>
              <w:spacing w:before="0" w:after="283"/>
              <w:jc w:val="both"/>
              <w:rPr/>
            </w:pPr>
            <w:hyperlink w:anchor="tm2625875d4_ex4-1.htm">
              <w:r>
                <w:rPr>
                  <w:rStyle w:val="InternetLink"/>
                  <w:rFonts w:ascii="Times New Roman;Times;Serif" w:hAnsi="Times New Roman;Times;Serif"/>
                  <w:sz w:val="20"/>
                </w:rPr>
                <w:t>Indenture, dated September 30, 2026, between Burke &amp; Herbert Financial Services Corp. and Wilmington Trust, National Association, as trustee</w:t>
              </w:r>
            </w:hyperlink>
          </w:p>
        </w:tc>
      </w:tr>
      <w:tr>
        <w:trPr/>
        <w:tc>
          <w:tcPr>
            <w:tcW w:w="980" w:type="dxa"/>
            <w:tcBorders/>
            <w:vAlign w:val="center"/>
          </w:tcPr>
          <w:p>
            <w:pPr>
              <w:pStyle w:val="TableContents"/>
              <w:bidi w:val="0"/>
              <w:spacing w:before="0" w:after="283"/>
              <w:jc w:val="both"/>
              <w:rPr/>
            </w:pPr>
            <w:hyperlink w:anchor="tm2625875d4_ex4-2.htm">
              <w:r>
                <w:rPr>
                  <w:rStyle w:val="InternetLink"/>
                  <w:rFonts w:ascii="Times New Roman;Times;Serif" w:hAnsi="Times New Roman;Times;Serif"/>
                  <w:sz w:val="20"/>
                </w:rPr>
                <w:t>4.2</w:t>
              </w:r>
            </w:hyperlink>
          </w:p>
        </w:tc>
        <w:tc>
          <w:tcPr>
            <w:tcW w:w="9225" w:type="dxa"/>
            <w:tcBorders/>
            <w:vAlign w:val="center"/>
          </w:tcPr>
          <w:p>
            <w:pPr>
              <w:pStyle w:val="TableContents"/>
              <w:bidi w:val="0"/>
              <w:spacing w:before="0" w:after="283"/>
              <w:jc w:val="both"/>
              <w:rPr/>
            </w:pPr>
            <w:hyperlink w:anchor="tm2625875d4_ex4-2.htm">
              <w:r>
                <w:rPr>
                  <w:rStyle w:val="InternetLink"/>
                  <w:rFonts w:ascii="Times New Roman;Times;Serif" w:hAnsi="Times New Roman;Times;Serif"/>
                  <w:sz w:val="20"/>
                </w:rPr>
                <w:t>First Supplemental Indenture, dated September 30, 2026, between Burke &amp; Herbert Financial Services Corp. and Wilmington Trust, National Association, as trustee</w:t>
              </w:r>
            </w:hyperlink>
          </w:p>
        </w:tc>
      </w:tr>
      <w:tr>
        <w:trPr/>
        <w:tc>
          <w:tcPr>
            <w:tcW w:w="980" w:type="dxa"/>
            <w:tcBorders/>
            <w:vAlign w:val="center"/>
          </w:tcPr>
          <w:p>
            <w:pPr>
              <w:pStyle w:val="TableContents"/>
              <w:bidi w:val="0"/>
              <w:spacing w:before="0" w:after="283"/>
              <w:jc w:val="both"/>
              <w:rPr/>
            </w:pPr>
            <w:hyperlink w:anchor="tm2625875d4_ex4-2.htm">
              <w:r>
                <w:rPr>
                  <w:rStyle w:val="InternetLink"/>
                  <w:rFonts w:ascii="Times New Roman;Times;Serif" w:hAnsi="Times New Roman;Times;Serif"/>
                  <w:sz w:val="20"/>
                </w:rPr>
                <w:t>4.3</w:t>
              </w:r>
            </w:hyperlink>
          </w:p>
        </w:tc>
        <w:tc>
          <w:tcPr>
            <w:tcW w:w="9225" w:type="dxa"/>
            <w:tcBorders/>
            <w:vAlign w:val="center"/>
          </w:tcPr>
          <w:p>
            <w:pPr>
              <w:pStyle w:val="TableContents"/>
              <w:bidi w:val="0"/>
              <w:spacing w:before="0" w:after="283"/>
              <w:jc w:val="both"/>
              <w:rPr/>
            </w:pPr>
            <w:hyperlink w:anchor="tm2625875d4_ex4-2.htm">
              <w:r>
                <w:rPr>
                  <w:rStyle w:val="InternetLink"/>
                  <w:rFonts w:ascii="Times New Roman;Times;Serif" w:hAnsi="Times New Roman;Times;Serif"/>
                  <w:sz w:val="20"/>
                </w:rPr>
                <w:t>Form of 7.00% Fixed-to-Floating Rate Subordinated Note due 2036 (included in Exhibit 4.2)</w:t>
              </w:r>
            </w:hyperlink>
          </w:p>
        </w:tc>
      </w:tr>
      <w:tr>
        <w:trPr/>
        <w:tc>
          <w:tcPr>
            <w:tcW w:w="980" w:type="dxa"/>
            <w:tcBorders/>
            <w:vAlign w:val="center"/>
          </w:tcPr>
          <w:p>
            <w:pPr>
              <w:pStyle w:val="TableContents"/>
              <w:bidi w:val="0"/>
              <w:spacing w:before="0" w:after="283"/>
              <w:jc w:val="both"/>
              <w:rPr/>
            </w:pPr>
            <w:hyperlink w:anchor="tm2625875d4_ex5-1.htm">
              <w:r>
                <w:rPr>
                  <w:rStyle w:val="InternetLink"/>
                  <w:rFonts w:ascii="Times New Roman;Times;Serif" w:hAnsi="Times New Roman;Times;Serif"/>
                  <w:sz w:val="20"/>
                </w:rPr>
                <w:t>5.1</w:t>
              </w:r>
            </w:hyperlink>
          </w:p>
        </w:tc>
        <w:tc>
          <w:tcPr>
            <w:tcW w:w="9225" w:type="dxa"/>
            <w:tcBorders/>
            <w:vAlign w:val="center"/>
          </w:tcPr>
          <w:p>
            <w:pPr>
              <w:pStyle w:val="TableContents"/>
              <w:bidi w:val="0"/>
              <w:spacing w:before="0" w:after="283"/>
              <w:jc w:val="both"/>
              <w:rPr/>
            </w:pPr>
            <w:hyperlink w:anchor="tm2625875d4_ex5-1.htm">
              <w:r>
                <w:rPr>
                  <w:rStyle w:val="InternetLink"/>
                  <w:rFonts w:ascii="Times New Roman;Times;Serif" w:hAnsi="Times New Roman;Times;Serif"/>
                  <w:sz w:val="20"/>
                </w:rPr>
                <w:t>Opinion of Troutman Pepper Locke LLP</w:t>
              </w:r>
            </w:hyperlink>
          </w:p>
        </w:tc>
      </w:tr>
      <w:tr>
        <w:trPr/>
        <w:tc>
          <w:tcPr>
            <w:tcW w:w="980" w:type="dxa"/>
            <w:tcBorders/>
            <w:vAlign w:val="center"/>
          </w:tcPr>
          <w:p>
            <w:pPr>
              <w:pStyle w:val="TableContents"/>
              <w:bidi w:val="0"/>
              <w:spacing w:before="0" w:after="283"/>
              <w:jc w:val="both"/>
              <w:rPr/>
            </w:pPr>
            <w:hyperlink w:anchor="tm2625875d4_ex5-1.htm">
              <w:r>
                <w:rPr>
                  <w:rStyle w:val="InternetLink"/>
                  <w:rFonts w:ascii="Times New Roman;Times;Serif" w:hAnsi="Times New Roman;Times;Serif"/>
                  <w:sz w:val="20"/>
                </w:rPr>
                <w:t>23.1</w:t>
              </w:r>
            </w:hyperlink>
          </w:p>
        </w:tc>
        <w:tc>
          <w:tcPr>
            <w:tcW w:w="9225" w:type="dxa"/>
            <w:tcBorders/>
            <w:vAlign w:val="center"/>
          </w:tcPr>
          <w:p>
            <w:pPr>
              <w:pStyle w:val="TableContents"/>
              <w:bidi w:val="0"/>
              <w:spacing w:before="0" w:after="283"/>
              <w:jc w:val="both"/>
              <w:rPr/>
            </w:pPr>
            <w:hyperlink w:anchor="tm2625875d4_ex5-1.htm">
              <w:r>
                <w:rPr>
                  <w:rStyle w:val="InternetLink"/>
                  <w:rFonts w:ascii="Times New Roman;Times;Serif" w:hAnsi="Times New Roman;Times;Serif"/>
                  <w:sz w:val="20"/>
                </w:rPr>
                <w:t>Consent of Troutman Pepper Locke LLP (included in Exhibit 5.1)</w:t>
              </w:r>
            </w:hyperlink>
          </w:p>
        </w:tc>
      </w:tr>
      <w:tr>
        <w:trPr/>
        <w:tc>
          <w:tcPr>
            <w:tcW w:w="980" w:type="dxa"/>
            <w:tcBorders/>
            <w:vAlign w:val="center"/>
          </w:tcPr>
          <w:p>
            <w:pPr>
              <w:pStyle w:val="TableContents"/>
              <w:bidi w:val="0"/>
              <w:spacing w:before="0" w:after="283"/>
              <w:jc w:val="both"/>
              <w:rPr/>
            </w:pPr>
            <w:hyperlink w:anchor="tm2625875d4_ex99-1.htm">
              <w:r>
                <w:rPr>
                  <w:rStyle w:val="InternetLink"/>
                  <w:rFonts w:ascii="Times New Roman;Times;Serif" w:hAnsi="Times New Roman;Times;Serif"/>
                  <w:sz w:val="20"/>
                </w:rPr>
                <w:t>99.1</w:t>
              </w:r>
            </w:hyperlink>
          </w:p>
        </w:tc>
        <w:tc>
          <w:tcPr>
            <w:tcW w:w="9225" w:type="dxa"/>
            <w:tcBorders/>
            <w:vAlign w:val="center"/>
          </w:tcPr>
          <w:p>
            <w:pPr>
              <w:pStyle w:val="TableContents"/>
              <w:bidi w:val="0"/>
              <w:spacing w:before="0" w:after="283"/>
              <w:jc w:val="both"/>
              <w:rPr/>
            </w:pPr>
            <w:hyperlink w:anchor="tm2625875d4_ex99-1.htm">
              <w:r>
                <w:rPr>
                  <w:rStyle w:val="InternetLink"/>
                  <w:rFonts w:ascii="Times New Roman;Times;Serif" w:hAnsi="Times New Roman;Times;Serif"/>
                  <w:sz w:val="20"/>
                </w:rPr>
                <w:t>Press Release, dated September 28, 2026</w:t>
              </w:r>
            </w:hyperlink>
          </w:p>
        </w:tc>
      </w:tr>
      <w:tr>
        <w:trPr/>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9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and certain other communications by the Company contain statements that constitute “forward-looking statements” within the meaning of, and subject to the protections of, Section 27A of the Securities Act of 1933 and Section 21E of the Securities Exchange Act of 1934. Such statements, including but not limited to those regarding the offering and the use of proceeds therefrom, are based on currently available information and are subject to various risks and uncertainties that could cause actual results to differ materially from the Company’s present expectations. These risks and uncertainties include, but are not limited to, market conditions affecting the offering. Undue reliance should not be placed on such forward-looking statements, as such statements speak only as of the date on which they are made and the Company undertakes no obligation to update such statements. Additional information regarding these and other risks is contained in the Company’s filings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754" w:type="dxa"/>
        <w:jc w:val="left"/>
        <w:tblInd w:w="0" w:type="dxa"/>
        <w:tblLayout w:type="fixed"/>
        <w:tblCellMar>
          <w:top w:w="0" w:type="dxa"/>
          <w:left w:w="0" w:type="dxa"/>
          <w:bottom w:w="0" w:type="dxa"/>
          <w:right w:w="0" w:type="dxa"/>
        </w:tblCellMar>
      </w:tblPr>
      <w:tblGrid>
        <w:gridCol w:w="2135"/>
        <w:gridCol w:w="639"/>
        <w:gridCol w:w="2980"/>
      </w:tblGrid>
      <w:tr>
        <w:trPr/>
        <w:tc>
          <w:tcPr>
            <w:tcW w:w="2135" w:type="dxa"/>
            <w:tcBorders/>
            <w:vAlign w:val="center"/>
          </w:tcPr>
          <w:p>
            <w:pPr>
              <w:pStyle w:val="TableContents"/>
              <w:bidi w:val="0"/>
              <w:spacing w:before="0" w:after="283"/>
              <w:jc w:val="left"/>
              <w:rPr/>
            </w:pPr>
            <w:r>
              <w:rPr/>
              <w:t> </w:t>
            </w:r>
          </w:p>
        </w:tc>
        <w:tc>
          <w:tcPr>
            <w:tcW w:w="36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Burke &amp; Herbert Financial Services Corp.</w:t>
            </w:r>
          </w:p>
        </w:tc>
      </w:tr>
      <w:tr>
        <w:trPr/>
        <w:tc>
          <w:tcPr>
            <w:tcW w:w="2135"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pPr>
            <w:r>
              <w:rPr/>
              <w:t> </w:t>
            </w:r>
          </w:p>
        </w:tc>
        <w:tc>
          <w:tcPr>
            <w:tcW w:w="298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30, 2026</w:t>
            </w:r>
          </w:p>
        </w:tc>
        <w:tc>
          <w:tcPr>
            <w:tcW w:w="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80" w:type="dxa"/>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 xml:space="preserve">/s/ </w:t>
            </w:r>
            <w:r>
              <w:rPr>
                <w:sz w:val="20"/>
              </w:rPr>
              <w:t>Kirtan Parikh</w:t>
            </w:r>
          </w:p>
        </w:tc>
      </w:tr>
      <w:tr>
        <w:trPr/>
        <w:tc>
          <w:tcPr>
            <w:tcW w:w="2135"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Kirtan Parikh</w:t>
            </w:r>
          </w:p>
        </w:tc>
      </w:tr>
      <w:tr>
        <w:trPr/>
        <w:tc>
          <w:tcPr>
            <w:tcW w:w="2135"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CFO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5875d4_ex1-1.htm"/>
      <w:bookmarkStart w:id="23" w:name="kstm2625875d4_ex11"/>
      <w:bookmarkEnd w:id="22"/>
      <w:bookmarkEnd w:id="23"/>
      <w:r>
        <w:rPr/>
        <w:t> </w:t>
      </w:r>
      <w:r>
        <w:br w:type="page"/>
      </w:r>
    </w:p>
    <w:p>
      <w:pPr>
        <w:pStyle w:val="TextBody"/>
        <w:bidi w:val="0"/>
        <w:jc w:val="right"/>
        <w:rPr>
          <w:b/>
        </w:rPr>
      </w:pPr>
      <w:r>
        <w:rPr>
          <w:b/>
        </w:rPr>
        <w:t>Exhibit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7.00% FIXED-TO-FLOATING RATE SUBORDINATED NOTES DUE 2036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BURKE &amp; HERBERT FINANCIAL SERVICES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KEEFE, BRUYETTE &amp; WOODS,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KEEFE, BRUYETTE &amp; WOODS,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Equitable Building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 Seventh Avenue, 4th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Burke &amp; Herbert Financial Services Corp., a Virginia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confirms its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with Keefe, Bruyette &amp; Woods, Inc. (“</w:t>
      </w:r>
      <w:r>
        <w:rPr>
          <w:rFonts w:ascii="Times New Roman;Times;Serif" w:hAnsi="Times New Roman;Times;Serif"/>
          <w:b/>
          <w:i w:val="false"/>
          <w:caps w:val="false"/>
          <w:smallCaps w:val="false"/>
          <w:sz w:val="20"/>
        </w:rPr>
        <w:t>KBW</w:t>
      </w:r>
      <w:r>
        <w:rPr>
          <w:rFonts w:ascii="Times New Roman;Times;Serif" w:hAnsi="Times New Roman;Times;Serif"/>
          <w:b w:val="false"/>
          <w:i w:val="false"/>
          <w:caps w:val="false"/>
          <w:smallCaps w:val="false"/>
          <w:sz w:val="20"/>
        </w:rPr>
        <w:t>”), as the sole underwriter, with respect to the issue and sale by the Company and the purchase by KBW of $100,000,000 aggregate principal amount of its 7.00% Fixed-to-Floating Rate Subordinated Notes due October 1, 2036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The Securities will be issued in book-entry only form to Cede &amp; Co. as nominee of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pursuant to the Letter of Representations, to be dated as of the Closing Time (as defined in SECTION 2 hereof), between the Company and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will be issued pursuant to the Subordinated Indenture between the Company and Wilmington Trust, National Association,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to be dated as of September 30, 2026, as supplemented by a supplemental indenture thereto to be dated as of September 30, 2026, between the Company and the Trustee (collectively,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The Indenture and this Agreement are hereinafter referred to collectively as the “</w:t>
      </w:r>
      <w:r>
        <w:rPr>
          <w:rFonts w:ascii="Times New Roman;Times;Serif" w:hAnsi="Times New Roman;Times;Serif"/>
          <w:b/>
          <w:i w:val="false"/>
          <w:caps w:val="false"/>
          <w:smallCaps w:val="false"/>
          <w:sz w:val="20"/>
        </w:rPr>
        <w:t>Operative 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and filed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a registration statement on Form S-3 (File No. 333-283261), which includes the form of prospectus covering the public offering and sale of certain securities of the Company, including the Securities, under the Securities Act (as defined below) and which registration statement became effective on December 11, 2024. Such registration statement, as of any time, means such registration statement as amended by any post-effective amendment thereto at such time, including the exhibits and any schedules thereto at such time, and including the documents incorporated or deemed to be incorporated by reference therein at such time pursuant to Item 12 of Form S-3 and any post-effective amendment, prospectus supplement or other documents otherwise deemed to be a part thereof as of such time pursuant to Rule 430B (“</w:t>
      </w:r>
      <w:r>
        <w:rPr>
          <w:rFonts w:ascii="Times New Roman;Times;Serif" w:hAnsi="Times New Roman;Times;Serif"/>
          <w:b/>
          <w:i w:val="false"/>
          <w:caps w:val="false"/>
          <w:smallCaps w:val="false"/>
          <w:sz w:val="20"/>
        </w:rPr>
        <w:t>Rule 430B</w:t>
      </w:r>
      <w:r>
        <w:rPr>
          <w:rFonts w:ascii="Times New Roman;Times;Serif" w:hAnsi="Times New Roman;Times;Serif"/>
          <w:b w:val="false"/>
          <w:i w:val="false"/>
          <w:caps w:val="false"/>
          <w:smallCaps w:val="false"/>
          <w:sz w:val="20"/>
        </w:rPr>
        <w:t>”) under the rules and regulations of the Commission under the Securities Act of 1933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such rules and regulations promulgated thereunder being referred to as the “</w:t>
      </w:r>
      <w:r>
        <w:rPr>
          <w:rFonts w:ascii="Times New Roman;Times;Serif" w:hAnsi="Times New Roman;Times;Serif"/>
          <w:b/>
          <w:i w:val="false"/>
          <w:caps w:val="false"/>
          <w:smallCaps w:val="false"/>
          <w:sz w:val="20"/>
        </w:rPr>
        <w:t>Securities Act Regulations</w:t>
      </w:r>
      <w:r>
        <w:rPr>
          <w:rFonts w:ascii="Times New Roman;Times;Serif" w:hAnsi="Times New Roman;Times;Serif"/>
          <w:b w:val="false"/>
          <w:i w:val="false"/>
          <w:caps w:val="false"/>
          <w:smallCaps w:val="false"/>
          <w:sz w:val="20"/>
        </w:rPr>
        <w:t>”), and is referred to herein as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The form of prospectus appearing in the Registration Statement at the time of its initial effectiveness and including the documents incorporated by reference therein is hereinafter called the “</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Each preliminary prospectus supplement and the Base Prospectus used in connection with the offering of the Securities, in the form of which has been or will be filed with the Commission pursuant to Rule 424(b) under the Securities Act Regulations (“</w:t>
      </w:r>
      <w:r>
        <w:rPr>
          <w:rFonts w:ascii="Times New Roman;Times;Serif" w:hAnsi="Times New Roman;Times;Serif"/>
          <w:b/>
          <w:i w:val="false"/>
          <w:caps w:val="false"/>
          <w:smallCaps w:val="false"/>
          <w:sz w:val="20"/>
        </w:rPr>
        <w:t>Rule 424(b)</w:t>
      </w:r>
      <w:r>
        <w:rPr>
          <w:rFonts w:ascii="Times New Roman;Times;Serif" w:hAnsi="Times New Roman;Times;Serif"/>
          <w:b w:val="false"/>
          <w:i w:val="false"/>
          <w:caps w:val="false"/>
          <w:smallCaps w:val="false"/>
          <w:sz w:val="20"/>
        </w:rPr>
        <w:t>”), including the documents incorporated or deemed to be incorporated by reference therein pursuant to Item 12 of Form S-3 immediately prior to the time of its first use, are collectively referred to herein as a “preliminary prospectus.” Promptly after execution and delivery of this Agreement, the Company will prepare and file with the Commission a final prospectus supplement relating to the Securities in accordance with the provisions of Rule 424(b). The final prospectus supplement and the Base Prospectus, in the form first furnished to KBW for use in connection with the offering and sale of the Securities, including the documents incorporated or deemed to be incorporated by reference therein pursuant to Item 12 of Form S-3 immediately prior to the Applicable Time (as defined below), are collectively referred to herein as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For purposes of this Agreement, all references to the Registration Statement, the Base Prospectus, any preliminary prospectus, the Prospectus or any amendment or supplement to any of the foregoing shall be deemed to include the copy filed with the Commission pursuant to its Electronic Data Gathering, Analysis and Retrieval system (or any successor system)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Time</w:t>
      </w:r>
      <w:r>
        <w:rPr>
          <w:rFonts w:ascii="Times New Roman;Times;Serif" w:hAnsi="Times New Roman;Times;Serif"/>
          <w:b w:val="false"/>
          <w:i w:val="false"/>
          <w:caps w:val="false"/>
          <w:smallCaps w:val="false"/>
          <w:sz w:val="20"/>
        </w:rPr>
        <w:t>” means 2:00 p.m., New York City time, on September 28, 2026, or such other time as agreed by the Company and KBW.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Issuer Free Writing Prospectus</w:t>
      </w:r>
      <w:r>
        <w:rPr>
          <w:rFonts w:ascii="Times New Roman;Times;Serif" w:hAnsi="Times New Roman;Times;Serif"/>
          <w:b w:val="false"/>
          <w:i w:val="false"/>
          <w:caps w:val="false"/>
          <w:smallCaps w:val="false"/>
          <w:sz w:val="20"/>
        </w:rPr>
        <w:t>” means any “issuer free writing prospectus,” as defined in Rule 433 under the Securities Act Regulations (“</w:t>
      </w:r>
      <w:r>
        <w:rPr>
          <w:rFonts w:ascii="Times New Roman;Times;Serif" w:hAnsi="Times New Roman;Times;Serif"/>
          <w:b/>
          <w:i w:val="false"/>
          <w:caps w:val="false"/>
          <w:smallCaps w:val="false"/>
          <w:sz w:val="20"/>
        </w:rPr>
        <w:t>Rule 433</w:t>
      </w:r>
      <w:r>
        <w:rPr>
          <w:rFonts w:ascii="Times New Roman;Times;Serif" w:hAnsi="Times New Roman;Times;Serif"/>
          <w:b w:val="false"/>
          <w:i w:val="false"/>
          <w:caps w:val="false"/>
          <w:smallCaps w:val="false"/>
          <w:sz w:val="20"/>
        </w:rPr>
        <w:t>”), including, without limitation, any “free writing prospectus” (as defined in Rule 405) relating to the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Securities or of the offering thereof that does not reflect the final terms, in each case in the form filed or required to be filed with the Commission or, if not required to be filed, in the form retained in the Company’s records pursuant to Rule 433(g).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Issuer General Use Free Writing Prospectus</w:t>
      </w:r>
      <w:r>
        <w:rPr>
          <w:rFonts w:ascii="Times New Roman;Times;Serif" w:hAnsi="Times New Roman;Times;Serif"/>
          <w:b w:val="false"/>
          <w:i w:val="false"/>
          <w:caps w:val="false"/>
          <w:smallCaps w:val="false"/>
          <w:sz w:val="20"/>
        </w:rPr>
        <w:t xml:space="preserve">” means any Issuer Free Writing Prospectus that is intended for general distribution to investors, as evidenced by its being specified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Statutory Prospectus</w:t>
      </w:r>
      <w:r>
        <w:rPr>
          <w:rFonts w:ascii="Times New Roman;Times;Serif" w:hAnsi="Times New Roman;Times;Serif"/>
          <w:b w:val="false"/>
          <w:i w:val="false"/>
          <w:caps w:val="false"/>
          <w:smallCaps w:val="false"/>
          <w:sz w:val="20"/>
        </w:rPr>
        <w:t>” as of any time means the applicable prospectus relating to the Securities that is, immediately prior to that time, either included in the Registration Statement or deemed to be a part thereof, including any document incorporated therein by reference immediately prior to that time and any preliminary prospectus deemed to be a part thereof.</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financial statements and schedules and other information which is “contained,” “included” or “stated” (or other references of like import) in the Registration Statement, the Disclosure Package, any preliminary prospectus or the Prospectus shall be deemed to include all such financial statements and schedules and other information incorporated or deemed to be incorporated by reference in the Registration Statement, the Disclosure Package, any preliminary prospectus or the Prospectus, as the case may be, prior to the Applicable Time; and all references in this Agreement to amendments or supplements to the Registration Statement, the Disclosure Package, any preliminary prospectus or the Prospectus shall be deemed to include the filing of any document under the Securities Exchange Act of 1934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the rules and regulations promulgated thereunder (the “</w:t>
      </w:r>
      <w:r>
        <w:rPr>
          <w:rFonts w:ascii="Times New Roman;Times;Serif" w:hAnsi="Times New Roman;Times;Serif"/>
          <w:b/>
          <w:i w:val="false"/>
          <w:caps w:val="false"/>
          <w:smallCaps w:val="false"/>
          <w:sz w:val="20"/>
        </w:rPr>
        <w:t>Exchange Act Regulations</w:t>
      </w:r>
      <w:r>
        <w:rPr>
          <w:rFonts w:ascii="Times New Roman;Times;Serif" w:hAnsi="Times New Roman;Times;Serif"/>
          <w:b w:val="false"/>
          <w:i w:val="false"/>
          <w:caps w:val="false"/>
          <w:smallCaps w:val="false"/>
          <w:sz w:val="20"/>
        </w:rPr>
        <w:t>”) incorporated or deemed to be incorporated by reference in the Registration Statement, the Disclosure Package, such preliminary prospectus or the Prospectus, as the case may be, at or after the Applicable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confirms as follows with KBW.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and warrants to KBW at the Applicable Time and at the Closing Time (as defined below), and agrees with KBW,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Well-Known Seasoned Issuer</w:t>
      </w:r>
      <w:r>
        <w:rPr>
          <w:rFonts w:ascii="Times New Roman;Times;Serif" w:hAnsi="Times New Roman;Times;Serif"/>
          <w:b w:val="false"/>
          <w:i w:val="false"/>
          <w:caps w:val="false"/>
          <w:smallCaps w:val="false"/>
          <w:sz w:val="20"/>
        </w:rPr>
        <w:t>. At the time the Company or any person acting on its behalf (within the meaning, for this clause only, of Rule 163(c) under the Securities Act Regulations) made any offer relating to the Securities in reliance on the exemption of Rule 163 under the Securities Act Regulations (“</w:t>
      </w:r>
      <w:r>
        <w:rPr>
          <w:rFonts w:ascii="Times New Roman;Times;Serif" w:hAnsi="Times New Roman;Times;Serif"/>
          <w:b/>
          <w:i w:val="false"/>
          <w:caps w:val="false"/>
          <w:smallCaps w:val="false"/>
          <w:sz w:val="20"/>
        </w:rPr>
        <w:t>Rule 163</w:t>
      </w:r>
      <w:r>
        <w:rPr>
          <w:rFonts w:ascii="Times New Roman;Times;Serif" w:hAnsi="Times New Roman;Times;Serif"/>
          <w:b w:val="false"/>
          <w:i w:val="false"/>
          <w:caps w:val="false"/>
          <w:smallCaps w:val="false"/>
          <w:sz w:val="20"/>
        </w:rPr>
        <w:t>”) and at the Applicable Time, the Company was and is a “well-known seasoned issuer,” as defined in Rule 405 under the Securities Act Regulations (“</w:t>
      </w:r>
      <w:r>
        <w:rPr>
          <w:rFonts w:ascii="Times New Roman;Times;Serif" w:hAnsi="Times New Roman;Times;Serif"/>
          <w:b/>
          <w:i w:val="false"/>
          <w:caps w:val="false"/>
          <w:smallCaps w:val="false"/>
          <w:sz w:val="20"/>
        </w:rPr>
        <w:t>Rule 405</w:t>
      </w:r>
      <w:r>
        <w:rPr>
          <w:rFonts w:ascii="Times New Roman;Times;Serif" w:hAnsi="Times New Roman;Times;Serif"/>
          <w:b w:val="false"/>
          <w:i w:val="false"/>
          <w:caps w:val="false"/>
          <w:smallCaps w:val="false"/>
          <w:sz w:val="20"/>
        </w:rPr>
        <w:t xml:space="preserve">”), including not having been and not being an “ineligible issuer” (as defined in Rule 405). At the earliest time that the Company or another offering participant made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 (within the meaning of Rule 164(h)(2) under the Securities Act Regulations) of the Securities, the Company was not nor is an “ineligible issuer” (as defined in Rule 405).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Compliance of the Registration Statement, the Prospectus and Incorporated Documents</w:t>
      </w:r>
      <w:r>
        <w:rPr>
          <w:rFonts w:ascii="Times New Roman;Times;Serif" w:hAnsi="Times New Roman;Times;Serif"/>
          <w:b w:val="false"/>
          <w:i w:val="false"/>
          <w:caps w:val="false"/>
          <w:smallCaps w:val="false"/>
          <w:sz w:val="20"/>
        </w:rPr>
        <w:t>. At the time the Registration Statement and any post-effective amendments thereto were filed with the Commission and at the time hereof, the Company met the requirements for use of Form S-3 under the Securities Act. No stop order suspending the effectiveness of the Registration Statement or any post-effective amendment thereto has been issued under the Securities Act, no order preventing or suspending the use of any preliminary prospectus or the Prospectus or any amendment or supplement thereto has been issued and no proceedings for any of those purposes have been instituted or are pending or, to the Company’s knowledge, contemplated. The Company has complied with each request (if any) from the Commission for additional information. The Company meets the requirements under the Securities Act specified in the Financial Industry Regulatory Authority, Inc.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Conduct Rule 5110(b)(7)(C)(i).</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Registration Statement and any post-effective amendment thereto, at the time of its effectiveness, at the Closing Time and as of each deemed effective date with respect to KBW pursuant to paragraph (f)(2) of Rule 430B, complied, in all material respects, with the requirements of the Securities Act, the Securities Act Regulations and the Trust Indenture Act of 1939, as amended (the “</w:t>
      </w:r>
      <w:r>
        <w:rPr>
          <w:rFonts w:ascii="Times New Roman;Times;Serif" w:hAnsi="Times New Roman;Times;Serif"/>
          <w:b/>
          <w:i w:val="false"/>
          <w:caps w:val="false"/>
          <w:smallCaps w:val="false"/>
          <w:sz w:val="20"/>
        </w:rPr>
        <w:t>TIA</w:t>
      </w:r>
      <w:r>
        <w:rPr>
          <w:rFonts w:ascii="Times New Roman;Times;Serif" w:hAnsi="Times New Roman;Times;Serif"/>
          <w:b w:val="false"/>
          <w:i w:val="false"/>
          <w:caps w:val="false"/>
          <w:smallCaps w:val="false"/>
          <w:sz w:val="20"/>
        </w:rPr>
        <w:t>”), and the rules and regulations of the Commission under the TIA (the “</w:t>
      </w:r>
      <w:r>
        <w:rPr>
          <w:rFonts w:ascii="Times New Roman;Times;Serif" w:hAnsi="Times New Roman;Times;Serif"/>
          <w:b/>
          <w:i w:val="false"/>
          <w:caps w:val="false"/>
          <w:smallCaps w:val="false"/>
          <w:sz w:val="20"/>
        </w:rPr>
        <w:t>TIA Regulations</w:t>
      </w:r>
      <w:r>
        <w:rPr>
          <w:rFonts w:ascii="Times New Roman;Times;Serif" w:hAnsi="Times New Roman;Times;Serif"/>
          <w:b w:val="false"/>
          <w:i w:val="false"/>
          <w:caps w:val="false"/>
          <w:smallCaps w:val="false"/>
          <w:sz w:val="20"/>
        </w:rPr>
        <w:t>”). Each preliminary prospectus, the Prospectus and any amendment or supplement thereto, at the time each was filed with the Commission, complied, in all material respects, with the requirements of the Securities Act, the Securities Act Regulations, the TIA and the TIA Regulations, and are identical to the electronically transmitted copies thereof filed with the Commission pursuant to EDGAR, except to the extent permitted by Regulation 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incorporated or deemed to be incorporated by reference in the Registration Statement, the Disclosure Package and the Prospectus, when they became effective or at the time they were or hereafter are filed with the Commission, complied and will comply, in all material respects, with the requirements of the Exchange Act and the Exchange Act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Accurate Disclosure</w:t>
      </w:r>
      <w:r>
        <w:rPr>
          <w:rFonts w:ascii="Times New Roman;Times;Serif" w:hAnsi="Times New Roman;Times;Serif"/>
          <w:b w:val="false"/>
          <w:i w:val="false"/>
          <w:caps w:val="false"/>
          <w:smallCaps w:val="false"/>
          <w:sz w:val="20"/>
        </w:rPr>
        <w:t>. Neither the Registration Statement nor any post-effective amendment thereto, at its effective time or at the Closing Time (as defined below), contained, contains or will contain an untrue statement of a material fact or omitted, omits or will omit to state a material fact required to be stated therein or necessary to make the statements therein not misleading. At the Applicable Time, any Issuer General Use Free Writing Prospectus and the Statutory Prospectus, when considered together (collectively, as of the Applicable Time, the “</w:t>
      </w:r>
      <w:r>
        <w:rPr>
          <w:rFonts w:ascii="Times New Roman;Times;Serif" w:hAnsi="Times New Roman;Times;Serif"/>
          <w:b/>
          <w:i w:val="false"/>
          <w:caps w:val="false"/>
          <w:smallCaps w:val="false"/>
          <w:sz w:val="20"/>
        </w:rPr>
        <w:t>Disclosure Package</w:t>
      </w:r>
      <w:r>
        <w:rPr>
          <w:rFonts w:ascii="Times New Roman;Times;Serif" w:hAnsi="Times New Roman;Times;Serif"/>
          <w:b w:val="false"/>
          <w:i w:val="false"/>
          <w:caps w:val="false"/>
          <w:smallCaps w:val="false"/>
          <w:sz w:val="20"/>
        </w:rPr>
        <w:t>”), did not, does not and will not include an untrue statement of a material fact or omit to state a material fact necessary in order to make the statements therein, in the light of the circumstances under which they were made, not misleading. Neither the Prospectus nor any amendment or supplement thereto, as of its issue date or at the Closing Time, included, includes or will include an untrue statement of a material fact or omit to state a material fact necessary in order to make the statements therein, in the light of the circumstances under which they were made, not misleading. The documents incorporated or deemed to be incorporated by reference in the Registration Statement, the Disclosure Package and the Prospectus, at the time the Registration Statement became effective or when such incorporated documents were filed with the Commission, as the case may be, when read together with the other information in the Registration Statement, the Disclosure Package or the Prospectus, as the case may be, did not, does not and will not include an untrue statement of a material fact or omit to state a material fact required to be stated therein or necessary to make the statements therein not misleading. There are no statutes, regulations, documents or contracts of a character required to be described in the Registration Statement, the Disclosure Package and the Prospectus, or to be filed as an exhibit to the Registration Statement, which are not described or filed as required. There are no business relationships or related person transactions involving the Company or any subsidiary or any other person required to be described in the Registration Statement, the Disclosure Package and the Prospectus that have not been described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in this subsection shall not apply to statements in or omissions from the Registration Statement or any amendment thereto or the Disclosure Package or the Prospectus or any amendment or supplement thereto made in reliance upon and in conformity with written information furnished to the Company by KBW expressly for use therein. For purposes of this Agreement, the only information so furnished shall consist of the following: the discount information appearing in the Prospectus under the heading “Underwriting” and the information relating to stabilizing transactions, syndicate covering transactions and penalty bids in the first paragraph under the caption “Underwriting—Price Stabilization, Short Positions” in each of the preliminary prospectus and the Prospectus (collectively, the “</w:t>
      </w:r>
      <w:r>
        <w:rPr>
          <w:rFonts w:ascii="Times New Roman;Times;Serif" w:hAnsi="Times New Roman;Times;Serif"/>
          <w:b/>
          <w:i w:val="false"/>
          <w:caps w:val="false"/>
          <w:smallCaps w:val="false"/>
          <w:sz w:val="20"/>
        </w:rPr>
        <w:t>KBW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Issuer Free Writing Prospectuses</w:t>
      </w:r>
      <w:r>
        <w:rPr>
          <w:rFonts w:ascii="Times New Roman;Times;Serif" w:hAnsi="Times New Roman;Times;Serif"/>
          <w:b w:val="false"/>
          <w:i w:val="false"/>
          <w:caps w:val="false"/>
          <w:smallCaps w:val="false"/>
          <w:sz w:val="20"/>
        </w:rPr>
        <w:t>. No Issuer Free Writing Prospectus conflicts or will conflict with the information contained in the Registration Statement, any preliminary prospectus or the Prospectus, including any document incorporated by reference therein, that has not been superseded or modified.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Independent Accountants</w:t>
      </w:r>
      <w:r>
        <w:rPr>
          <w:rFonts w:ascii="Times New Roman;Times;Serif" w:hAnsi="Times New Roman;Times;Serif"/>
          <w:b w:val="false"/>
          <w:i w:val="false"/>
          <w:caps w:val="false"/>
          <w:smallCaps w:val="false"/>
          <w:sz w:val="20"/>
        </w:rPr>
        <w:t>. (A) Crowe LLP (“</w:t>
      </w:r>
      <w:r>
        <w:rPr>
          <w:rFonts w:ascii="Times New Roman;Times;Serif" w:hAnsi="Times New Roman;Times;Serif"/>
          <w:b/>
          <w:i w:val="false"/>
          <w:caps w:val="false"/>
          <w:smallCaps w:val="false"/>
          <w:sz w:val="20"/>
        </w:rPr>
        <w:t>Crowe</w:t>
      </w:r>
      <w:r>
        <w:rPr>
          <w:rFonts w:ascii="Times New Roman;Times;Serif" w:hAnsi="Times New Roman;Times;Serif"/>
          <w:b w:val="false"/>
          <w:i w:val="false"/>
          <w:caps w:val="false"/>
          <w:smallCaps w:val="false"/>
          <w:sz w:val="20"/>
        </w:rPr>
        <w:t>”), which has certified certain financial statements and supporting schedules of the Company included in the Registration Statement and the Prospectus, is (i) an independent registered public accounting firm with respect to the Company as required by the Securities Act, the Securities Act Regulations, the Exchange Act, the Exchange Act Regulations and the Public Company Accounting Oversight Board (the “</w:t>
      </w:r>
      <w:r>
        <w:rPr>
          <w:rFonts w:ascii="Times New Roman;Times;Serif" w:hAnsi="Times New Roman;Times;Serif"/>
          <w:b/>
          <w:i w:val="false"/>
          <w:caps w:val="false"/>
          <w:smallCaps w:val="false"/>
          <w:sz w:val="20"/>
        </w:rPr>
        <w:t>PCAOB</w:t>
      </w:r>
      <w:r>
        <w:rPr>
          <w:rFonts w:ascii="Times New Roman;Times;Serif" w:hAnsi="Times New Roman;Times;Serif"/>
          <w:b w:val="false"/>
          <w:i w:val="false"/>
          <w:caps w:val="false"/>
          <w:smallCaps w:val="false"/>
          <w:sz w:val="20"/>
        </w:rPr>
        <w:t>”), whose registration has not been superseded or revoked and which has not requested that such registration be withdrawn, and (ii) not in violation, and has not been in violation, of the auditor independence requirements of the Sarbanes-Oxley Act of 2002 (the “</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and the rules and regulations of the Commission during any period in which Crowe has served as the Company’s independent registered public accounting firm; and (B) S.R. Snodgrass, P.C. (“</w:t>
      </w:r>
      <w:r>
        <w:rPr>
          <w:rFonts w:ascii="Times New Roman;Times;Serif" w:hAnsi="Times New Roman;Times;Serif"/>
          <w:b/>
          <w:i w:val="false"/>
          <w:caps w:val="false"/>
          <w:smallCaps w:val="false"/>
          <w:sz w:val="20"/>
        </w:rPr>
        <w:t>Snodgrass</w:t>
      </w:r>
      <w:r>
        <w:rPr>
          <w:rFonts w:ascii="Times New Roman;Times;Serif" w:hAnsi="Times New Roman;Times;Serif"/>
          <w:b w:val="false"/>
          <w:i w:val="false"/>
          <w:caps w:val="false"/>
          <w:smallCaps w:val="false"/>
          <w:sz w:val="20"/>
        </w:rPr>
        <w:t>”), which has certified certain financial statements and supporting schedules of LINKBANCORP, Inc., a Pennsylvania corporation (“</w:t>
      </w:r>
      <w:r>
        <w:rPr>
          <w:rFonts w:ascii="Times New Roman;Times;Serif" w:hAnsi="Times New Roman;Times;Serif"/>
          <w:b/>
          <w:i w:val="false"/>
          <w:caps w:val="false"/>
          <w:smallCaps w:val="false"/>
          <w:sz w:val="20"/>
        </w:rPr>
        <w:t>LINKBANCORP</w:t>
      </w:r>
      <w:r>
        <w:rPr>
          <w:rFonts w:ascii="Times New Roman;Times;Serif" w:hAnsi="Times New Roman;Times;Serif"/>
          <w:b w:val="false"/>
          <w:i w:val="false"/>
          <w:caps w:val="false"/>
          <w:smallCaps w:val="false"/>
          <w:sz w:val="20"/>
        </w:rPr>
        <w:t>”), included in the Registration Statement and the Prospectus, was (i) an independent registered public accounting firm with respect to LINKBANCORP as required by the Securities Act, the Securities Act Regulations, the Exchange Act, the Exchange Act Regulations and the PCAOB, whose registration has not been superseded or revoked and which has not requested that such registration be withdrawn, and (ii) not in violation, and has not been in violation, of the auditor independence requirements of the Sarbanes-Oxley Act and the rules and regulations of the Commission during any period in which Snodgrass served as LINKBANCORP’s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Financial Statements; Non-GAAP Financial Measures</w:t>
      </w:r>
      <w:r>
        <w:rPr>
          <w:rFonts w:ascii="Times New Roman;Times;Serif" w:hAnsi="Times New Roman;Times;Serif"/>
          <w:b w:val="false"/>
          <w:i w:val="false"/>
          <w:caps w:val="false"/>
          <w:smallCaps w:val="false"/>
          <w:sz w:val="20"/>
        </w:rPr>
        <w:t>. The financial statements of the Company and its consolidated subsidiaries included in the Registration Statement, the Disclosure Package and the Prospectus, together with the related schedules and notes, comply with the requirements of the Securities Act and present fairly, in all material respects, the financial position of the Company and its consolidated subsidiaries. The financial statements of the Company and its consolidated subsidiaries, at the dates indicated, have been prepared in conformity with U.S. generally accepted accounting principles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applied on a consistent basis throughout the periods involved. The supporting schedules, if any, present fairly, in all material respects, in accordance with GAAP the information required to be stated therein. To the extent applicable, all disclosures contained in the Registration Statement, the Disclosure Package or the Prospectus, if any, regarding “non-GAAP financial measures” (as such term is defined by the rules and regulations of the Commission) comply with Regulation G under the Exchange Act and Item 10(e) of Regulation S-K under the Securities Act, in all material respects.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Interactive Data</w:t>
      </w:r>
      <w:r>
        <w:rPr>
          <w:rFonts w:ascii="Times New Roman;Times;Serif" w:hAnsi="Times New Roman;Times;Serif"/>
          <w:b w:val="false"/>
          <w:i w:val="false"/>
          <w:caps w:val="false"/>
          <w:smallCaps w:val="false"/>
          <w:sz w:val="20"/>
        </w:rPr>
        <w:t>. The interactive data in Inline eXtensible Business Reporting Language incorporated by reference in the Registration Statement, the Disclosure Package and the Prospectus fairly presents the information called for in all material respects and has been prepared in accordance with the requirements of the Securities Act and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No Material Adverse Change in Business</w:t>
      </w:r>
      <w:r>
        <w:rPr>
          <w:rFonts w:ascii="Times New Roman;Times;Serif" w:hAnsi="Times New Roman;Times;Serif"/>
          <w:b w:val="false"/>
          <w:i w:val="false"/>
          <w:caps w:val="false"/>
          <w:smallCaps w:val="false"/>
          <w:sz w:val="20"/>
        </w:rPr>
        <w:t>. Since the respective dates as of which information is given in the Registration Statement, the Disclosure Package and the Prospectus, except as otherwise stated therein, (i) there has been no material adverse effect, or any development that could be expected to result in a material adverse effect, (A) on the general affairs, condition (financial or otherwise), business, properties, prospects, management, financial position, shareholders’ equity, assets, liabilities or results of operations of the Company and its subsidiaries considered as one enterprise, whether or not arising in the ordinary course of business or (B) in the ability of the Company to perform its obligations under, and to consummate the transactions contemplated by, this Agreement (each of (A) and (B) a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(ii) there has not been any change in the capital stock or long-term debt or any material changes in short-term debt of the Company or any of the subsidiaries, (iii) there have been no transactions entered into by, and no obligations or liabilities, contingent or otherwise, incurred by the Company or any of the subsidiaries, whether or not in the ordinary course of business, which are material to the Company and the subsidiaries, considered as one enterprise, (iv) the Company has not purchased any of its outstanding capital stock and there has been no dividend or distribution of any kind declared, paid or made by the Company on any class of its capital stock, other than regular quarterly cash dividends on the Company’s common stock and regular quarterly dividends on the Company’s preferred stock and (v) there has been no material loss or interference with the Company’s business from fire, explosion, flood or other calamity, whether or not covered by insurance, or from any labor dispute or court or governmental action, order or decree.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Good Standing of the Company</w:t>
      </w:r>
      <w:r>
        <w:rPr>
          <w:rFonts w:ascii="Times New Roman;Times;Serif" w:hAnsi="Times New Roman;Times;Serif"/>
          <w:b w:val="false"/>
          <w:i w:val="false"/>
          <w:caps w:val="false"/>
          <w:smallCaps w:val="false"/>
          <w:sz w:val="20"/>
        </w:rPr>
        <w:t>. The Company has been duly organized and is validly existing as a corporation in good standing under the laws of the Commonwealth of Virginia and has corporate power and authority to own, lease and operate its properties and to conduct its business as described in the Registration Statement, the Disclosure Package and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to be in good standing could not result in a Material Adverse Effect.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Good Standing of Subsidiaries</w:t>
      </w:r>
      <w:r>
        <w:rPr>
          <w:rFonts w:ascii="Times New Roman;Times;Serif" w:hAnsi="Times New Roman;Times;Serif"/>
          <w:b w:val="false"/>
          <w:i w:val="false"/>
          <w:caps w:val="false"/>
          <w:smallCaps w:val="false"/>
          <w:sz w:val="20"/>
        </w:rPr>
        <w:t>. Burke &amp; Herbert Bank &amp; Trust Company (the “</w:t>
      </w:r>
      <w:r>
        <w:rPr>
          <w:rFonts w:ascii="Times New Roman;Times;Serif" w:hAnsi="Times New Roman;Times;Serif"/>
          <w:b/>
          <w:i w:val="false"/>
          <w:caps w:val="false"/>
          <w:smallCaps w:val="false"/>
          <w:sz w:val="20"/>
        </w:rPr>
        <w:t>Bank</w:t>
      </w:r>
      <w:r>
        <w:rPr>
          <w:rFonts w:ascii="Times New Roman;Times;Serif" w:hAnsi="Times New Roman;Times;Serif"/>
          <w:b w:val="false"/>
          <w:i w:val="false"/>
          <w:caps w:val="false"/>
          <w:smallCaps w:val="false"/>
          <w:sz w:val="20"/>
        </w:rPr>
        <w:t>”) is a bank chartered under the laws of the Commonwealth of Virginia, and the charter of the Bank is in full force and effect. Each “significant subsidiary” of the Company (as such term is defined in Rule 1-02 of Regulation S-X) (each, a “</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Significant Subsidiaries</w:t>
      </w:r>
      <w:r>
        <w:rPr>
          <w:rFonts w:ascii="Times New Roman;Times;Serif" w:hAnsi="Times New Roman;Times;Serif"/>
          <w:b w:val="false"/>
          <w:i w:val="false"/>
          <w:caps w:val="false"/>
          <w:smallCaps w:val="false"/>
          <w:sz w:val="20"/>
        </w:rPr>
        <w:t>”) has been duly organized and is validly existing as a corporation or other organization in good standing under the laws of the jurisdiction of its incorporation, formation or organization, has the requisite corporate or organizational power and authority to own, lease and operate its properties and to conduct its business as described in the Registration Statement, the Disclosure Package and the Prospectus and is duly qualified as a foreign corporation or other business entity to transact business and is in good standing in each jurisdiction in which such qualification is required, whether by reason of the ownership or leasing of property or the conduct of business, except where the failure to so qualify or to be in good standing could not result in a Material Adverse Effect. All of the issued and outstanding shares of capital stock or other equity interests of each subsidiary of the Company have been duly authorized and validly issued and are fully paid and non-assessable, as applicable, and are owned by the Company, directly or through subsidiaries, free and clear of any security interest, mortgage, pledge, lien, encumbrance, claim or equitable right; none of the outstanding shares of capital stock or other equity interests of any subsidiary of the Company was issued in violation of the preemptive or similar rights of any securityholder of such subsidiary arising by operation of law, or under the articles of incorporation, bylaws or other organizational documents of the Company or any subsidiary or under any agreement to which the Company or any subsidiary is a party. The only Significant Subsidiary of the Company is the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The authorized, issued and outstanding capital stock of the Company is as set forth in the Registration Statement, the Disclosure Package and the Prospectus (except for subsequent issuances, if any, pursuant to reservations, agreements or employee benefit plans referred to in the Registration Statement, the Disclosure Package and the Prospectus or pursuant to the exercise of convertible securities or options referred to in the Registration Statement, the Disclosure Package and the Prospectus). All issued and outstanding shares of Common Stock have been duly authorized and validly issued and are fully paid and non-assessable; none of the outstanding shares of Common Stock were issued in violation of the preemptive rights, rights of first refusal or other similar rights of any securityholder of the Company arising by operation of law, or under the articles of incorporation, bylaws or other organizational documents of the Company or any subsidiary or under any agreement to which the Company or any subsidiary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Authorization of Agreement</w:t>
      </w:r>
      <w:r>
        <w:rPr>
          <w:rFonts w:ascii="Times New Roman;Times;Serif" w:hAnsi="Times New Roman;Times;Serif"/>
          <w:b w:val="false"/>
          <w:i w:val="false"/>
          <w:caps w:val="false"/>
          <w:smallCaps w:val="false"/>
          <w:sz w:val="20"/>
        </w:rPr>
        <w:t>. 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 This Agreement has been duly authorized, executed and delivered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Authorization of Indenture</w:t>
      </w:r>
      <w:r>
        <w:rPr>
          <w:rFonts w:ascii="Times New Roman;Times;Serif" w:hAnsi="Times New Roman;Times;Serif"/>
          <w:b w:val="false"/>
          <w:i w:val="false"/>
          <w:caps w:val="false"/>
          <w:smallCaps w:val="false"/>
          <w:sz w:val="20"/>
        </w:rPr>
        <w:t>. The Indenture has been duly authorized by the Company and, when executed and delivered by the Company, the Indenture will constitute a valid, legal and binding agreement of the Company, enforceable against the Company in accordance with its terms, except to the extent that enforceability may be limited by (i) bankruptcy, insolvency, reorganization, moratorium, fraudulent conveyance or other similar laws now or hereafter in effect relating to creditors’ rights generally, (ii) general principles of equity (regardless of whether enforceability is considered in a proceeding at law or in equity) and (iii) with respect to the rights to indemnity or contribution, including, but not limited to, indemnification and contribution provisions set forth in this Agreement, federal or state securities law or the public policy underlying such laws (collectively,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Authorization of Securities</w:t>
      </w:r>
      <w:r>
        <w:rPr>
          <w:rFonts w:ascii="Times New Roman;Times;Serif" w:hAnsi="Times New Roman;Times;Serif"/>
          <w:b w:val="false"/>
          <w:i w:val="false"/>
          <w:caps w:val="false"/>
          <w:smallCaps w:val="false"/>
          <w:sz w:val="20"/>
        </w:rPr>
        <w:t>. The Securities have been duly authorized by the Company and, at the Closing Time, will have been duly executed by the Company and, when authenticated in the manner provided for in the Indenture and delivered by the Company against payment therefor as described in the Prospectus or as contemplated in the Indenture, will constitute valid, legal and binding obligations of the Company, enforceable against the Company in accordance with their terms, except to the extent that enforceability may be limited by the Enforceability Exceptions; the Securities will be in the form contemplated by, and will be entitled to the benefits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Descriptions of Securities</w:t>
      </w:r>
      <w:r>
        <w:rPr>
          <w:rFonts w:ascii="Times New Roman;Times;Serif" w:hAnsi="Times New Roman;Times;Serif"/>
          <w:b w:val="false"/>
          <w:i w:val="false"/>
          <w:caps w:val="false"/>
          <w:smallCaps w:val="false"/>
          <w:sz w:val="20"/>
        </w:rPr>
        <w:t>. The Securities will conform, in all material respects, to all statements relating thereto contained in the Registration Statement, the Prospectus and the Disclosure Package.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Qualification under the TIA</w:t>
      </w:r>
      <w:r>
        <w:rPr>
          <w:rFonts w:ascii="Times New Roman;Times;Serif" w:hAnsi="Times New Roman;Times;Serif"/>
          <w:b w:val="false"/>
          <w:i w:val="false"/>
          <w:caps w:val="false"/>
          <w:smallCaps w:val="false"/>
          <w:sz w:val="20"/>
        </w:rPr>
        <w:t>. At the Closing Time, the Indenture will have been duly qualified with respect to the Securities under the TIA.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Registration Rights</w:t>
      </w:r>
      <w:r>
        <w:rPr>
          <w:rFonts w:ascii="Times New Roman;Times;Serif" w:hAnsi="Times New Roman;Times;Serif"/>
          <w:b w:val="false"/>
          <w:i w:val="false"/>
          <w:caps w:val="false"/>
          <w:smallCaps w:val="false"/>
          <w:sz w:val="20"/>
        </w:rPr>
        <w:t>. There are no contracts, agreements or understandings between the Company and any person granting such person registration rights or other similar rights to have any securities registered for resale pursuant to the Registration Statement or otherwise registered by the Company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caps w:val="false"/>
          <w:smallCaps w:val="false"/>
          <w:sz w:val="20"/>
        </w:rPr>
        <w:t>Absence of Defaults and Conflicts</w:t>
      </w:r>
      <w:r>
        <w:rPr>
          <w:rFonts w:ascii="Times New Roman;Times;Serif" w:hAnsi="Times New Roman;Times;Serif"/>
          <w:b w:val="false"/>
          <w:i w:val="false"/>
          <w:caps w:val="false"/>
          <w:smallCaps w:val="false"/>
          <w:sz w:val="20"/>
        </w:rPr>
        <w:t>. The Company is not in violation of its Articles of Incorporation, as amended (the “</w:t>
      </w:r>
      <w:r>
        <w:rPr>
          <w:rFonts w:ascii="Times New Roman;Times;Serif" w:hAnsi="Times New Roman;Times;Serif"/>
          <w:b/>
          <w:i w:val="false"/>
          <w:caps w:val="false"/>
          <w:smallCaps w:val="false"/>
          <w:sz w:val="20"/>
        </w:rPr>
        <w:t>Charter</w:t>
      </w:r>
      <w:r>
        <w:rPr>
          <w:rFonts w:ascii="Times New Roman;Times;Serif" w:hAnsi="Times New Roman;Times;Serif"/>
          <w:b w:val="false"/>
          <w:i w:val="false"/>
          <w:caps w:val="false"/>
          <w:smallCaps w:val="false"/>
          <w:sz w:val="20"/>
        </w:rPr>
        <w:t>”), or Amended and Restated Bylaws (the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 no subsidiary of the Company is in violation of its charter, bylaws or other organizational documents and neither the Company nor any of its subsidiaries is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property or assets of the Company or any subsidiary is subject (collectively, “</w:t>
      </w:r>
      <w:r>
        <w:rPr>
          <w:rFonts w:ascii="Times New Roman;Times;Serif" w:hAnsi="Times New Roman;Times;Serif"/>
          <w:b/>
          <w:i w:val="false"/>
          <w:caps w:val="false"/>
          <w:smallCaps w:val="false"/>
          <w:sz w:val="20"/>
        </w:rPr>
        <w:t>Agreements and Instruments</w:t>
      </w:r>
      <w:r>
        <w:rPr>
          <w:rFonts w:ascii="Times New Roman;Times;Serif" w:hAnsi="Times New Roman;Times;Serif"/>
          <w:b w:val="false"/>
          <w:i w:val="false"/>
          <w:caps w:val="false"/>
          <w:smallCaps w:val="false"/>
          <w:sz w:val="20"/>
        </w:rPr>
        <w:t>”), or in violation of any law or statute or any judgment, order, rule or regulation of any court or arbitrator or governmental or regulatory authority, except in all cases for such violations or defaults that would not reasonably be expected to, individually or in the aggregate, result in a Material Adverse Effect. The execution, delivery and performance of the Operative Documents and the Securities by the Company, the issuance, sale and delivery of the Securities, the consummation of the transactions contemplated by the Operative Documents and the Securities and in the Registration Statement, the Prospectus and the Disclosure Package (including the use of proceeds from the sale of the Securities), and compliance by the Company with the terms of the Operative Documents and the Securities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property or assets of the Company or any subsidiary pursuant to, the Agreements and Instruments (except for such conflicts, breaches, defaults, Repayment Events or liens, charges or encumbrances that would not reasonably be expected to, individually or in the aggregate, result in a Material Adverse Effect); nor will such action result in any violation of the provisions of the Charter or Bylaws of the Company or the charter, bylaws or other organizational document of any subsidiary of the Company; nor will such action result in any violation of any applicable law, statute, rule, regulation, judgment, order, writ or decree of any government, government instrumentality or court, domestic or foreign, having jurisdiction over the Company or any subsidiary or any of their assets, properties or operations (except for such violations that would not reasonably be expected to, individually or in the aggregate, result in a Material Adverse Effect). As used herein, a “</w:t>
      </w:r>
      <w:r>
        <w:rPr>
          <w:rFonts w:ascii="Times New Roman;Times;Serif" w:hAnsi="Times New Roman;Times;Serif"/>
          <w:b/>
          <w:i w:val="false"/>
          <w:caps w:val="false"/>
          <w:smallCaps w:val="false"/>
          <w:sz w:val="20"/>
        </w:rPr>
        <w:t>Repayment Event</w:t>
      </w:r>
      <w:r>
        <w:rPr>
          <w:rFonts w:ascii="Times New Roman;Times;Serif" w:hAnsi="Times New Roman;Times;Serif"/>
          <w:b w:val="false"/>
          <w:i w:val="false"/>
          <w:caps w:val="false"/>
          <w:smallCaps w:val="false"/>
          <w:sz w:val="20"/>
        </w:rPr>
        <w:t>” means any event or condition which gives the holder of any note, debenture or other evidence of indebtedness (or any person acting on such holder’s behalf) the right to require the repurchase, redemption or repayment of all or a portion of such indebtedness by the Company or any subsidiary.</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caps w:val="false"/>
          <w:smallCaps w:val="false"/>
          <w:sz w:val="20"/>
        </w:rPr>
        <w:t>Absence of Labor Dispute</w:t>
      </w:r>
      <w:r>
        <w:rPr>
          <w:rFonts w:ascii="Times New Roman;Times;Serif" w:hAnsi="Times New Roman;Times;Serif"/>
          <w:b w:val="false"/>
          <w:i w:val="false"/>
          <w:caps w:val="false"/>
          <w:smallCaps w:val="false"/>
          <w:sz w:val="20"/>
        </w:rPr>
        <w:t>. No labor dispute with the employees of the Company or any subsidiary exists or, to the knowledge of the Company, is imminent. The Company is not aware of any existing or imminent labor disturbance by the employees of any of its or any subsidiary’s principal suppliers, manufacturers, customers or contractors, which, in either case, would reasonably be expected to, individually or in the aggregate,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caps w:val="false"/>
          <w:smallCaps w:val="false"/>
          <w:sz w:val="20"/>
        </w:rPr>
        <w:t>Absence of Proceedings</w:t>
      </w:r>
      <w:r>
        <w:rPr>
          <w:rFonts w:ascii="Times New Roman;Times;Serif" w:hAnsi="Times New Roman;Times;Serif"/>
          <w:b w:val="false"/>
          <w:i w:val="false"/>
          <w:caps w:val="false"/>
          <w:smallCaps w:val="false"/>
          <w:sz w:val="20"/>
        </w:rPr>
        <w:t>. There is no action, suit, proceeding, inquiry or investigation before or brought by any court or governmental agency or body, domestic or foreign, now pending, or, to the knowledge of the Company, threatened, against or affecting the Company or any subsidiary, which is required to be disclosed in the Registration Statement (other than as disclosed therein), or which, if determined adversely to the Company or any subsidiary, individually or in the aggregate, would reasonably be expected to result in a Material Adverse Effect, or which would materially and adversely affect the consummation of the transactions contemplated by the Operative Documents and the Securities or the performance by the Company of its obligations hereunder and thereunder. There are no legal or governmental proceedings to which the Company or any subsidiary is a party or of which any of their respective property or assets is the subject, including ordinary routine litigation incidental to the business, which would,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caps w:val="false"/>
          <w:smallCaps w:val="false"/>
          <w:sz w:val="20"/>
        </w:rPr>
        <w:t>Bank Holding Company Act</w:t>
      </w:r>
      <w:r>
        <w:rPr>
          <w:rFonts w:ascii="Times New Roman;Times;Serif" w:hAnsi="Times New Roman;Times;Serif"/>
          <w:b w:val="false"/>
          <w:i w:val="false"/>
          <w:caps w:val="false"/>
          <w:smallCaps w:val="false"/>
          <w:sz w:val="20"/>
        </w:rPr>
        <w:t>. The Company has been duly registered as, and meets in all material respects the applicable requirements for qualification as, a bank holding company and has elected to be treated as a financial holding company under the applicable provisions of the Bank Holding Company Act of 1956, as amended. The activities of the subsidiaries are permitted for subsidiaries of a financial holding company under applicable law and the rules and regulations of the Federal Reserve set forth in Title 12 of the Code of Federal Regulations. The Company is “well capitalized” as that term is defined in 12 CFR part 225.</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Compliance with Bank Regulatory Authorities</w:t>
      </w:r>
      <w:r>
        <w:rPr>
          <w:rFonts w:ascii="Times New Roman;Times;Serif" w:hAnsi="Times New Roman;Times;Serif"/>
          <w:b w:val="false"/>
          <w:i w:val="false"/>
          <w:caps w:val="false"/>
          <w:smallCaps w:val="false"/>
          <w:sz w:val="20"/>
        </w:rPr>
        <w:t>. The Company and each of its subsidiaries are in compliance in all material respects with all applicable laws, rules and regulations (including, without limitation, all applicable regulations and orders) of, or agreements with, the Board of Governors of the Federal Reserve System, the Federal Deposit Insurance Corporation (the “</w:t>
      </w:r>
      <w:r>
        <w:rPr>
          <w:rFonts w:ascii="Times New Roman;Times;Serif" w:hAnsi="Times New Roman;Times;Serif"/>
          <w:b/>
          <w:i w:val="false"/>
          <w:caps w:val="false"/>
          <w:smallCaps w:val="false"/>
          <w:sz w:val="20"/>
        </w:rPr>
        <w:t>FDIC</w:t>
      </w:r>
      <w:r>
        <w:rPr>
          <w:rFonts w:ascii="Times New Roman;Times;Serif" w:hAnsi="Times New Roman;Times;Serif"/>
          <w:b w:val="false"/>
          <w:i w:val="false"/>
          <w:caps w:val="false"/>
          <w:smallCaps w:val="false"/>
          <w:sz w:val="20"/>
        </w:rPr>
        <w:t>”), and the Bureau of Financial Institutions of the Virginia State Corporation Commission (the “</w:t>
      </w:r>
      <w:r>
        <w:rPr>
          <w:rFonts w:ascii="Times New Roman;Times;Serif" w:hAnsi="Times New Roman;Times;Serif"/>
          <w:b/>
          <w:i w:val="false"/>
          <w:caps w:val="false"/>
          <w:smallCaps w:val="false"/>
          <w:sz w:val="20"/>
        </w:rPr>
        <w:t>Bureau</w:t>
      </w:r>
      <w:r>
        <w:rPr>
          <w:rFonts w:ascii="Times New Roman;Times;Serif" w:hAnsi="Times New Roman;Times;Serif"/>
          <w:b w:val="false"/>
          <w:i w:val="false"/>
          <w:caps w:val="false"/>
          <w:smallCaps w:val="false"/>
          <w:sz w:val="20"/>
        </w:rPr>
        <w:t>”), as applicable (collectively, the “</w:t>
      </w:r>
      <w:r>
        <w:rPr>
          <w:rFonts w:ascii="Times New Roman;Times;Serif" w:hAnsi="Times New Roman;Times;Serif"/>
          <w:b/>
          <w:i w:val="false"/>
          <w:caps w:val="false"/>
          <w:smallCaps w:val="false"/>
          <w:sz w:val="20"/>
        </w:rPr>
        <w:t>Bank Regulatory Authorities</w:t>
      </w:r>
      <w:r>
        <w:rPr>
          <w:rFonts w:ascii="Times New Roman;Times;Serif" w:hAnsi="Times New Roman;Times;Serif"/>
          <w:b w:val="false"/>
          <w:i w:val="false"/>
          <w:caps w:val="false"/>
          <w:smallCaps w:val="false"/>
          <w:sz w:val="20"/>
        </w:rPr>
        <w:t>”), the Equal Credit Opportunity Act, the Fair Housing Act, the Truth in Lending Act, the Community Reinvestment Act (the “</w:t>
      </w:r>
      <w:r>
        <w:rPr>
          <w:rFonts w:ascii="Times New Roman;Times;Serif" w:hAnsi="Times New Roman;Times;Serif"/>
          <w:b/>
          <w:i w:val="false"/>
          <w:caps w:val="false"/>
          <w:smallCaps w:val="false"/>
          <w:sz w:val="20"/>
        </w:rPr>
        <w:t>CRA</w:t>
      </w:r>
      <w:r>
        <w:rPr>
          <w:rFonts w:ascii="Times New Roman;Times;Serif" w:hAnsi="Times New Roman;Times;Serif"/>
          <w:b w:val="false"/>
          <w:i w:val="false"/>
          <w:caps w:val="false"/>
          <w:smallCaps w:val="false"/>
          <w:sz w:val="20"/>
        </w:rPr>
        <w:t>”), the Home Mortgage Disclosure Act, the Bank Secrecy Act and Title III of the USA PATRIOT Act (or otherwise known as “</w:t>
      </w:r>
      <w:r>
        <w:rPr>
          <w:rFonts w:ascii="Times New Roman;Times;Serif" w:hAnsi="Times New Roman;Times;Serif"/>
          <w:b/>
          <w:i w:val="false"/>
          <w:caps w:val="false"/>
          <w:smallCaps w:val="false"/>
          <w:sz w:val="20"/>
        </w:rPr>
        <w:t>Uniting and Strengthening America by Providing Appropriate Tools Required to Intercept and Obstruct Terrorism Act of 2001</w:t>
      </w:r>
      <w:r>
        <w:rPr>
          <w:rFonts w:ascii="Times New Roman;Times;Serif" w:hAnsi="Times New Roman;Times;Serif"/>
          <w:b w:val="false"/>
          <w:i w:val="false"/>
          <w:caps w:val="false"/>
          <w:smallCaps w:val="false"/>
          <w:sz w:val="20"/>
        </w:rPr>
        <w:t>”), to the extent such laws or regulations apply to the Company or the Bank, as applicable. The Company and the Bank have no knowledge of any facts and circumstances, and have no reason to believe that any facts or circumstances exist, that could cause the Bank (A) to be deemed not to be in satisfactory compliance with the CRA and the regulations promulgated thereunder or to be assigned a CRA rating by federal or state banking regulators of lower than “satisfactory,” or (B) to be deemed to be operating in violation, in any material respect, of the Bank Secrecy Act of 1970 (or otherwise known as the “</w:t>
      </w:r>
      <w:r>
        <w:rPr>
          <w:rFonts w:ascii="Times New Roman;Times;Serif" w:hAnsi="Times New Roman;Times;Serif"/>
          <w:b/>
          <w:i w:val="false"/>
          <w:caps w:val="false"/>
          <w:smallCaps w:val="false"/>
          <w:sz w:val="20"/>
        </w:rPr>
        <w:t>Currency and Foreign Transactions Reporting Act</w:t>
      </w:r>
      <w:r>
        <w:rPr>
          <w:rFonts w:ascii="Times New Roman;Times;Serif" w:hAnsi="Times New Roman;Times;Serif"/>
          <w:b w:val="false"/>
          <w:i w:val="false"/>
          <w:caps w:val="false"/>
          <w:smallCaps w:val="false"/>
          <w:sz w:val="20"/>
        </w:rPr>
        <w:t>”), the USA PATRIOT Act or any order issued with respect to the Anti-Money Laundering Laws (as defined below). The Bank is “well capitalized” under the FDIC’s regulatory framework for prompt corrective action. The Bank has been duly chartered, is validly existing under the laws of the Commonwealth of Virginia and holds the requisite authority to do business as a state-chartered bank with banking powers under the laws of the Commonwealth of Virginia. The Bank is the only depository institution subsidiary of the Company and the Bank is a member in good standing of the Federal Home Loan Bank System. The activities of the Bank are permitted under the laws and regulations of the Commonwealth of Virginia. Since December 31, 2022, each of the Company, the Bank and each of their subsidiaries have filed all material reports, registrations and statements, together with any required amendments thereto, that each was required to file with the Federal Reserve, the FDIC, the Bureau and any other applicable federal or state banking authorities. All such reports and statements filed with any such regulatory body or authority are collectively referred to herein as the “</w:t>
      </w:r>
      <w:r>
        <w:rPr>
          <w:rFonts w:ascii="Times New Roman;Times;Serif" w:hAnsi="Times New Roman;Times;Serif"/>
          <w:b/>
          <w:i w:val="false"/>
          <w:caps w:val="false"/>
          <w:smallCaps w:val="false"/>
          <w:sz w:val="20"/>
        </w:rPr>
        <w:t>Company Reports</w:t>
      </w:r>
      <w:r>
        <w:rPr>
          <w:rFonts w:ascii="Times New Roman;Times;Serif" w:hAnsi="Times New Roman;Times;Serif"/>
          <w:b w:val="false"/>
          <w:i w:val="false"/>
          <w:caps w:val="false"/>
          <w:smallCaps w:val="false"/>
          <w:sz w:val="20"/>
        </w:rPr>
        <w:t>.” As of their respective dates, the Company Reports complied as to form in all material respects with all applicable rules and regulations promulgated by the Federal Reserve, the FDIC, the Bureau and any other applicable federal or state banking authorities,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caps w:val="false"/>
          <w:smallCaps w:val="false"/>
          <w:sz w:val="20"/>
        </w:rPr>
        <w:t>Regulatory Enforcement Matters</w:t>
      </w:r>
      <w:r>
        <w:rPr>
          <w:rFonts w:ascii="Times New Roman;Times;Serif" w:hAnsi="Times New Roman;Times;Serif"/>
          <w:b w:val="false"/>
          <w:i w:val="false"/>
          <w:caps w:val="false"/>
          <w:smallCaps w:val="false"/>
          <w:sz w:val="20"/>
        </w:rPr>
        <w:t>. None of the Company, the Bank or any of their respective subsidiaries is a party or subject to any formal or informal agreement, memorandum of understanding, consent decree, directive, cease-and-desist order, order of prohibition or suspension, written commitment, supervisory agreement or other written statement as described under 12 U.S.C. § 1818(u) with, or order issued by, or has adopted any board resolutions at the request of, the Federal Reserve, the FDIC, the Bureau or any other bank regulatory authority that restricts materially the conduct of its business, or in any manner relates to its capital adequacy, its credit policies or its management, nor have any of them been advised by any Bank Regulatory Authority that it is contemplating issuing or requesting (or is considering the appropriateness of issuing or requesting) any such order, decree, agreement, memorandum of understanding, extraordinary supervisory letter, commitment letter or similar submission, where such order, decree, agreement, memorandum of understanding, extraordinary supervisory letter, commitment letter or similar submission would reasonably be expected to result in a Material Adverse Effect. There is no unresolved violation, criticism or exception by any Bank Regulatory Authority with respect to any examination of the Company, the Bank or any of the Company’s other subsidiaries, which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caps w:val="false"/>
          <w:smallCaps w:val="false"/>
          <w:sz w:val="20"/>
        </w:rPr>
        <w:t>Accuracy of Exhibits</w:t>
      </w:r>
      <w:r>
        <w:rPr>
          <w:rFonts w:ascii="Times New Roman;Times;Serif" w:hAnsi="Times New Roman;Times;Serif"/>
          <w:b w:val="false"/>
          <w:i w:val="false"/>
          <w:caps w:val="false"/>
          <w:smallCaps w:val="false"/>
          <w:sz w:val="20"/>
        </w:rPr>
        <w:t>. There are no contracts or documents which are required to be described in the Registration Statement, the Disclosure Package, the Prospectus or the documents incorporated by reference therein or to be filed as exhibits thereto which have not been so described and filed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caps w:val="false"/>
          <w:smallCaps w:val="false"/>
          <w:sz w:val="20"/>
        </w:rPr>
        <w:t>Absence of Further Requirements</w:t>
      </w:r>
      <w:r>
        <w:rPr>
          <w:rFonts w:ascii="Times New Roman;Times;Serif" w:hAnsi="Times New Roman;Times;Serif"/>
          <w:b w:val="false"/>
          <w:i w:val="false"/>
          <w:caps w:val="false"/>
          <w:smallCaps w:val="false"/>
          <w:sz w:val="20"/>
        </w:rPr>
        <w:t>. No filing with, or authorization, approval, consent, license, order, registration, qualification or decree of, any court or governmental agency or body is necessary or required for the performance by the Company of its obligations under the Operative Documents or the Securities, or the consummation of the transactions contemplated thereunder, except such as have been already obtained or as may be required under the Securities Act, the Securities Act Regulations, the Exchange Act, the Exchange Act Regulations, the rules of Nasdaq, the securities laws of any state or non-U.S. jurisdiction or the rules of FINRA. All of the information provided to KBW or to counsel for KBW by the Company, its counsel, its officers and directors and the holders of any securities (debt or equity) or options to acquire any securities of the Company in connection with the offering of the Securities and for the purpose of compliance with the rules of FINRA is true, complete and correct in all material respects, and any letters, filings or other supplemental information provided to FINRA pursuant to FINRA Rules or National Association of Securities Dealers Conduct Rules are true, complete and correct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caps w:val="false"/>
          <w:smallCaps w:val="false"/>
          <w:sz w:val="20"/>
        </w:rPr>
        <w:t>Possession of Licenses and Permits</w:t>
      </w:r>
      <w:r>
        <w:rPr>
          <w:rFonts w:ascii="Times New Roman;Times;Serif" w:hAnsi="Times New Roman;Times;Serif"/>
          <w:b w:val="false"/>
          <w:i w:val="false"/>
          <w:caps w:val="false"/>
          <w:smallCaps w:val="false"/>
          <w:sz w:val="20"/>
        </w:rPr>
        <w:t>. The Company and its subsidiaries possess such permits, licenses, approvals, registrations, memberships, consents and other authorizations (collectively, “</w:t>
      </w:r>
      <w:r>
        <w:rPr>
          <w:rFonts w:ascii="Times New Roman;Times;Serif" w:hAnsi="Times New Roman;Times;Serif"/>
          <w:b/>
          <w:i w:val="false"/>
          <w:caps w:val="false"/>
          <w:smallCaps w:val="false"/>
          <w:sz w:val="20"/>
        </w:rPr>
        <w:t>Governmental Licenses</w:t>
      </w:r>
      <w:r>
        <w:rPr>
          <w:rFonts w:ascii="Times New Roman;Times;Serif" w:hAnsi="Times New Roman;Times;Serif"/>
          <w:b w:val="false"/>
          <w:i w:val="false"/>
          <w:caps w:val="false"/>
          <w:smallCaps w:val="false"/>
          <w:sz w:val="20"/>
        </w:rPr>
        <w:t>”) issued by the appropriate federal, state, local or foreign regulatory agencies or bodies necessary to conduct the business now operated by them; the Company and its subsidiaries are in compliance with the terms and conditions of all such Governmental Licenses, except where the failure to so comply could not, individually or in the aggregate, have a Material Adverse Effect and no event has occurred that allows, or after notice or lapse of time would allow, revocation or termination of any such Governmental License or result in any other material impairment of the rights of any such Governmental License; all of the Governmental Licenses are valid and in full force and effect, except where the invalidity of such Governmental License or the failure of such Governmental License to be in full force and effect would not reasonably be expected to have a Material Adverse Effect; and neither the Company nor any of its subsidiaries has received any notice of proceedings relating to the revocation or modification of any such Governmental Licenses which, individually or in the aggregate, if the subject of an unfavorable decision, ruling or finding, would reasonably be expected to have a Material Adverse Effect. Neither the Company nor any of its subsidiaries has failed to file with applicable regulatory authorities any material statement, report, information or form required by any applicable law, regulation or order, except where such failure to be so in compliance would not reasonably be expected to, individually or in the aggregate, have a Material Adverse Effect, all such filings were in material compliance with applicable laws when filed and no material deficiencies have been asserted by any regulatory commission, agency or authority with respect to any such filings or submissions.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caps w:val="false"/>
          <w:smallCaps w:val="false"/>
          <w:sz w:val="20"/>
        </w:rPr>
        <w:t>Conduct of Business</w:t>
      </w:r>
      <w:r>
        <w:rPr>
          <w:rFonts w:ascii="Times New Roman;Times;Serif" w:hAnsi="Times New Roman;Times;Serif"/>
          <w:b w:val="false"/>
          <w:i w:val="false"/>
          <w:caps w:val="false"/>
          <w:smallCaps w:val="false"/>
          <w:sz w:val="20"/>
        </w:rPr>
        <w:t>. Except as otherwise disclosed in the Registration Statement, the Disclosure Package and the Prospectus, each of the Company and the Bank is conducting its business in compliance with all laws, rules, regulations, decisions, directives and orders, and all regulations and orders of, or agreements with, any court or governmental agency or body applicable to it, except where failure to so comply would not, individually or in the aggregate, be reasonably expected to have a Material Adverse Effect.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caps w:val="false"/>
          <w:smallCaps w:val="false"/>
          <w:sz w:val="20"/>
        </w:rPr>
        <w:t>Title to Property</w:t>
      </w:r>
      <w:r>
        <w:rPr>
          <w:rFonts w:ascii="Times New Roman;Times;Serif" w:hAnsi="Times New Roman;Times;Serif"/>
          <w:b w:val="false"/>
          <w:i w:val="false"/>
          <w:caps w:val="false"/>
          <w:smallCaps w:val="false"/>
          <w:sz w:val="20"/>
        </w:rPr>
        <w:t>. The Company and its subsidiaries have good and marketable title in fee simple to all real property owned by the Company and its subsidiaries and good title to all other properties owned by them, in each case, free and clear of all mortgages, pledges, liens, security interests, claims, restrictions or encumbrances of any kind except such as (i) are described in the Registration Statement, the Disclosure Package and the Prospectus or (ii) do not materially affect the value of such property and do not interfere with the use made and proposed to be made of such property by the Company or any subsidiary. All of the leases and subleases material to the business of the Company and its subsidiaries, considered as one enterprise, and under which the Company or any of its subsidiaries holds properties described in the Registration Statement, the Disclosure Package and the Prospectus, are in full force and effect and are held under valid, subsisting and enforceable leases, and neither the Company nor any subsidiary has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caps w:val="false"/>
          <w:smallCaps w:val="false"/>
          <w:sz w:val="20"/>
        </w:rPr>
        <w:t>Possession of Intellectual Property</w:t>
      </w:r>
      <w:r>
        <w:rPr>
          <w:rFonts w:ascii="Times New Roman;Times;Serif" w:hAnsi="Times New Roman;Times;Serif"/>
          <w:b w:val="false"/>
          <w:i w:val="false"/>
          <w:caps w:val="false"/>
          <w:smallCaps w:val="false"/>
          <w:sz w:val="20"/>
        </w:rPr>
        <w:t>.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and excluding generally commercially available “off the shelf” software programs licensed pursuant to shrink wrap or “click and accept” licenses), systems, technology, trademarks, service marks, trade names or other intellectual property (collectively,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reasonably necessary to carry on the business now operated by them, and neither the Company nor any of its subsidiaries has received any notice or is otherwise aware of any infringement of or conflict with asserted rights of others with respect to any Intellectual Property or of any facts or circumstances which would reasonably be expected to render any Intellectual Property invalid or inadequate to protect the interest of the Company or any of its subsidiaries therein, except where the failure to possess such Intellectual Property or where such infringement or conflict (if the subject of an unfavorable ruling or finding) or invalidity or inadequacy, individually or in the aggregate, would not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caps w:val="false"/>
          <w:smallCaps w:val="false"/>
          <w:sz w:val="20"/>
        </w:rPr>
        <w:t>Environmental Laws</w:t>
      </w:r>
      <w:r>
        <w:rPr>
          <w:rFonts w:ascii="Times New Roman;Times;Serif" w:hAnsi="Times New Roman;Times;Serif"/>
          <w:b w:val="false"/>
          <w:i w:val="false"/>
          <w:caps w:val="false"/>
          <w:smallCaps w:val="false"/>
          <w:sz w:val="20"/>
        </w:rPr>
        <w:t>. Except as would not, individually or in the aggregate, reasonably be expected to result in a Material Adverse Effect,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or to the manufacture, processing, distribution, use, treatment, storage, disposal, transport or handling of Hazardous Materials (collectively,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(ii) the Company and its subsidiaries have all permits, authorizations and approvals required under any applicable Environmental Laws and are each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(iv) to the Company’s knowledge, there are no events or circumstances that could result in forming the basis of an order for clean-up or remediation, or a suit, action or proceeding by any private party or governmental body or agency, against or affecting the Company or any of its subsidiaries relating to Hazardous Materials or any Environmental Laws.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caps w:val="false"/>
          <w:smallCaps w:val="false"/>
          <w:sz w:val="20"/>
        </w:rPr>
        <w:t>ERISA</w:t>
      </w:r>
      <w:r>
        <w:rPr>
          <w:rFonts w:ascii="Times New Roman;Times;Serif" w:hAnsi="Times New Roman;Times;Serif"/>
          <w:b w:val="false"/>
          <w:i w:val="false"/>
          <w:caps w:val="false"/>
          <w:smallCaps w:val="false"/>
          <w:sz w:val="20"/>
        </w:rPr>
        <w:t>. Each employee benefit plan, within the meaning of Section 3(3) of the Employee Retirement Income Security Act of 1974, as amended, and the regulations and published interpretations thereunder (collectively,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that is maintained, administered or contributed to by the Company or any subsidiary or any trade or business, whether or not incorporated, which would be treated as a single employer with the Company or the subsidiaries pursuant to Section 414 of the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or 4001(b) of ERISA (an “</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for employees or former employees of the Company and its affiliates, or pursuant to which the Company, a subsidiary, or one of their ERISA Affiliates has any liability (each, a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has been maintained in material compliance with its terms and the requirements of any applicable statutes, orders, rules and regulations, including, but not limited to, ERISA and the Code, and the Company and its subsidiaries and ERISA Affiliates have fulfilled their obligations with respect to each Plan except where the failure to so comply would not, individually or in the aggregate, reasonably be expected to result in a Material Adverse Effect. To the knowledge of the Company, no “prohibited transaction,” within the meaning of Section 406 of ERISA or Section 4975 of the Code has occurred or is reasonably expected to occur with respect to any such Plan excluding transactions effected pursuant to a statutory, class or administrative exemption. No “reportable event” (as defined under ERISA) has occurred or is reasonably expected to occur with respect to any Plan that is subject to Title IV of ERISA, and no failure to satisfy the minimum funding standards (within the meaning of Section 412 of the Code or Section 302 of ERISA), has occurred or is reasonably expected to occur with respect to any Plan, except as would not, individually or in the aggregate,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the subsidiaries nor any of their ERISA Affiliates has incurred or reasonably expects to incur any liability (i) under Title IV of ERISA (other than contributions to the Plan or any multiemployer plan or premiums to the Pension Benefit Guaranty Corporation, in the ordinary course and without default), (ii) with respect to the termination of, or withdrawal from, any Plan, or (iii) under Sections 412, 4971, 4975 or 4980B of the Code, and (iv) no Plan is, or is reasonably expected to be, in “at risk status” (within the meaning of Section 303(i) of ERISA) and no “multiemployer plan” (within the meaning of Section 4001(a)(3) of ERISA) is in or expected to be in “endangered status” or “critical status” (within the meaning of Sections 304 and 305 of ERISA), except as would not, individually or in the aggregate, reasonably be expected to result in a Material Adverse Effect. Each Plan that is intended to be qualified under Section 401(a) of the Code is so qualified and nothing has occurred, whether by action or failure to act, which is reasonably expected to result in the loss of such qualification. None of the following events has occurred or is reasonably likely to occur: (A) a material increase in the aggregate amount of contributions required to be made to all Plans by the Company or its ERISA Affiliates in the current fiscal year of the Company and its ERISA Affiliates compared to the amount of such contributions made in the Company’s and its ERISA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To the knowledge of the Company, there is no pending audit or investigation by the Internal Revenue Service, the U.S. Department of Labor, the Pension Benefit Guaranty Corporation or any other governmental agency or any foreign agency with respect to any Plan.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caps w:val="false"/>
          <w:smallCaps w:val="false"/>
          <w:sz w:val="20"/>
        </w:rPr>
        <w:t>Internal Control Over Financial Reporting</w:t>
      </w:r>
      <w:r>
        <w:rPr>
          <w:rFonts w:ascii="Times New Roman;Times;Serif" w:hAnsi="Times New Roman;Times;Serif"/>
          <w:b w:val="false"/>
          <w:i w:val="false"/>
          <w:caps w:val="false"/>
          <w:smallCaps w:val="false"/>
          <w:sz w:val="20"/>
        </w:rPr>
        <w:t>. The Company and each of its subsidiaries maintain a system of internal control over financial reporting (as such term is defined in Rule 13a-15(f) of the Exchange Act Regulations) that complies in all material respects with the requirements of the Exchange Act and has been designed by the Company’s principal executive officer and principal financial officer and is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Inline eXtensible Business Reporting Language included or incorporated by reference in the Registration Statement is accurate and fairly presents the information called for in all material respects and has been prepared in accordance with the Commission’s rules and guidelines applicable thereto. Since the end of the Company’s most recent audited fiscal year, (A) there has been no material weakness in the Company’s internal control over financial reporting (whether or not remediated), (B) there has been no change in the Company’s internal control over financial reporting that has materially affected, or is reasonably likely to materially affect, the Company’s internal control over financial reporting and (C) the Company has not been advised of (1) any significant deficiencies in the design or operation of internal controls that could adversely affect the ability of the Company or any subsidiary to record, process, summarize and report financial data, or any material weaknesses in internal controls, or (2) any fraud, whether or not material, that involves management or other employees who have a significant role in the internal controls of the Company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caps w:val="false"/>
          <w:smallCaps w:val="false"/>
          <w:sz w:val="20"/>
        </w:rPr>
        <w:t>Disclosure Controls and Procedures</w:t>
      </w:r>
      <w:r>
        <w:rPr>
          <w:rFonts w:ascii="Times New Roman;Times;Serif" w:hAnsi="Times New Roman;Times;Serif"/>
          <w:b w:val="false"/>
          <w:i w:val="false"/>
          <w:caps w:val="false"/>
          <w:smallCaps w:val="false"/>
          <w:sz w:val="20"/>
        </w:rPr>
        <w:t>. The Company and its subsidiaries employ disclosure controls and procedures (as such term is defined in Rule 13a-15(e) of the Exchange Act Regulations), which (i) are designed to ensure that information required to be disclosed by the Company in the reports that it files or submits under the Exchange Act is recorded, processed, summarized and reported within the time periods specified in the Commission’s rules and forms and that material information relating to the Company and its subsidiaries is made known to the Company’s principal executive officer and principal financial officer by others within the Company and its subsidiaries to allow timely decisions regarding disclosure, (ii) have been evaluated by management of the Company for effectiveness as of the end of the Company’s most recent fiscal quarter, and (iii) were then effective in all material respects to perform the functions for which they were established. Based on the evaluation of the Company’s and each subsidiary’s disclosure controls and procedures described above, the Company is not aware of (A) any significant deficiency in the design or operation of internal controls which could adversely affect the Company’s or its subsidiaries’ ability to record, process, summarize and report financial data or any material weaknesses in internal controls or (B) any fraud, whether or not material, that involves management or other employees who have a significant role in the Company’s or its subsidiaries’ internal controls. Since the most recent evaluation of the Company’s disclosure controls and procedures described above, there have been no changes in internal controls or in other factors that could significantly affect internal controls.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caps w:val="false"/>
          <w:smallCaps w:val="false"/>
          <w:sz w:val="20"/>
        </w:rPr>
        <w:t>Compliance with the Sarbanes-Oxley Act</w:t>
      </w:r>
      <w:r>
        <w:rPr>
          <w:rFonts w:ascii="Times New Roman;Times;Serif" w:hAnsi="Times New Roman;Times;Serif"/>
          <w:b w:val="false"/>
          <w:i w:val="false"/>
          <w:caps w:val="false"/>
          <w:smallCaps w:val="false"/>
          <w:sz w:val="20"/>
        </w:rPr>
        <w:t>. The Company and its directors and officers, in their capacities as such, are in compliance in all material respects with all applicable provisions of the Sarbanes-Oxley Act and the rules and regulations promulgated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Pending Proceedings and Examinations</w:t>
      </w:r>
      <w:r>
        <w:rPr>
          <w:rFonts w:ascii="Times New Roman;Times;Serif" w:hAnsi="Times New Roman;Times;Serif"/>
          <w:b w:val="false"/>
          <w:i w:val="false"/>
          <w:caps w:val="false"/>
          <w:smallCaps w:val="false"/>
          <w:sz w:val="20"/>
        </w:rPr>
        <w:t>. The Registration Statement is not the subject of a pending proceeding or examination under Section 8(d) or 8(e) of the Securities Act, and the Company is not the subject of a pending proceeding under Section 8A of the Securities Act in connection with the offering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caps w:val="false"/>
          <w:smallCaps w:val="false"/>
          <w:sz w:val="20"/>
        </w:rPr>
        <w:t>Payment of Taxes</w:t>
      </w:r>
      <w:r>
        <w:rPr>
          <w:rFonts w:ascii="Times New Roman;Times;Serif" w:hAnsi="Times New Roman;Times;Serif"/>
          <w:b w:val="false"/>
          <w:i w:val="false"/>
          <w:caps w:val="false"/>
          <w:smallCaps w:val="false"/>
          <w:sz w:val="20"/>
        </w:rPr>
        <w:t>. All United States federal income tax returns of the Company and the subsidiaries required by law to be filed have been timely filed and all taxes shown by such returns or otherwise assessed, which are due and payable, have been paid, except assessments that have been or will be promptly contested in good faith and as to which adequate reserves have been provided in the Company’s financial statements in accordance with GAAP. The Company and the subsidiaries have filed all other tax returns that are required to have been filed by them pursuant to applicable foreign, state, local or other law, except insofar as the failure to file such returns, individually or in the aggregate, would not reasonably be expected to result in a Material Adverse Effect, and have paid all taxes due pursuant to such returns or pursuant to any assessment received by the Company or any subsidiary except for such taxes, if any, as are being contested in good faith and as to which adequate reserves have been provided. The charges, accruals and reserves on the books of the Company and the subsidiaries in respect of any income and corporation tax liability for any years not finally determined are adequate to meet any assessments or reassessments for additional income tax for any years not finally determined. There is no tax deficiency that has been or would reasonably be expected to be asserted against the Company or any of its subsidiaries or any of their respective properties or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 The Company and each subsidiary are insured by insurers of recognized financial responsibility against such losses and risks and in such amounts as are prudent and customary in the businesses in which they are engaged; neither the Company nor any of its subsidiaries has been refused any insurance coverage sought or applied for; and the Company has no reason to believe that it or any subsidiary will not be able to renew its existing insurance coverage as and when such coverage expires or to obtain similar coverage from similar insurers as may be necessary to continue its business at a cost that would not reasonably be expected to have a Material Adverse Effect. All such insurance is in full force as of the date hereof.</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caps w:val="false"/>
          <w:smallCaps w:val="false"/>
          <w:sz w:val="20"/>
        </w:rPr>
        <w:t>Investment Company Act</w:t>
      </w:r>
      <w:r>
        <w:rPr>
          <w:rFonts w:ascii="Times New Roman;Times;Serif" w:hAnsi="Times New Roman;Times;Serif"/>
          <w:b w:val="false"/>
          <w:i w:val="false"/>
          <w:caps w:val="false"/>
          <w:smallCaps w:val="false"/>
          <w:sz w:val="20"/>
        </w:rPr>
        <w:t>. The Company is not, and immediately following consummation of the transactions contemplated hereby and the application of the net proceeds as described in the Registration Statement, the Prospectus and the Disclosure Package, the Company will not be required to register as an “investment company” or an entity controlled by an “investment company,” in each case within the meaning of Section 3(a) of the Investment Company Act of 1940, as amended (the “</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 without regard to Section 3(c) of the Investment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caps w:val="false"/>
          <w:smallCaps w:val="false"/>
          <w:sz w:val="20"/>
        </w:rPr>
        <w:t>Stabilization</w:t>
      </w:r>
      <w:r>
        <w:rPr>
          <w:rFonts w:ascii="Times New Roman;Times;Serif" w:hAnsi="Times New Roman;Times;Serif"/>
          <w:b w:val="false"/>
          <w:i w:val="false"/>
          <w:caps w:val="false"/>
          <w:smallCaps w:val="false"/>
          <w:sz w:val="20"/>
        </w:rPr>
        <w:t>. Neither the Company nor any of its subsidiaries, nor any affiliates of the Company or its subsidiaries, has taken, directly, or indirectly, and neither the Company nor any of the subsidiaries, nor any affiliates of the Company or its subsidiaries, will take, directly or indirectly, any action designed to cause or result in, or which constitutes or might reasonably be expected to constitute, the stabilization or manipulation of the price of any security of the Company or any “reference security” (as defined in Rule 100 of Regulation M under the Exchange Act) to facilitate the sale or resale of the Securities or otherwise, and has taken no action which would directly or indirectly violate Regulation M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caps w:val="false"/>
          <w:smallCaps w:val="false"/>
          <w:sz w:val="20"/>
        </w:rPr>
        <w:t>Foreign Corrupt Practices Act</w:t>
      </w:r>
      <w:r>
        <w:rPr>
          <w:rFonts w:ascii="Times New Roman;Times;Serif" w:hAnsi="Times New Roman;Times;Serif"/>
          <w:b w:val="false"/>
          <w:i w:val="false"/>
          <w:caps w:val="false"/>
          <w:smallCaps w:val="false"/>
          <w:sz w:val="20"/>
        </w:rPr>
        <w:t>. None of the Company, any of its subsidiaries or, to the knowledge of the Company, any director, officer, agent or employee of the Company or any of its subsidiaries has: (i) used any corporate funds for any unlawful contribution, gift, entertainment or other unlawful expense relating to political activity in violation of the Foreign Corrupt Practices Act of 1977, as amended (the “</w:t>
      </w:r>
      <w:r>
        <w:rPr>
          <w:rFonts w:ascii="Times New Roman;Times;Serif" w:hAnsi="Times New Roman;Times;Serif"/>
          <w:b/>
          <w:i w:val="false"/>
          <w:caps w:val="false"/>
          <w:smallCaps w:val="false"/>
          <w:sz w:val="20"/>
        </w:rPr>
        <w:t>FCPA</w:t>
      </w:r>
      <w:r>
        <w:rPr>
          <w:rFonts w:ascii="Times New Roman;Times;Serif" w:hAnsi="Times New Roman;Times;Serif"/>
          <w:b w:val="false"/>
          <w:i w:val="false"/>
          <w:caps w:val="false"/>
          <w:smallCaps w:val="false"/>
          <w:sz w:val="20"/>
        </w:rPr>
        <w:t>”); (ii) made or taken an act in furtherance of an offer, promise or authorization of any direct or indirect unlawful payment to any foreign or domestic government official or employee from corporate funds; (iii) violated or is in violation of any provision of the FCPA, or any applicable non-U.S. anti-bribery statute or regulation; or (iv) made, offered, agreed, requested or taken an act in furtherance of any unlawful bribe, rebate, payoff, influence payment, kickback or other unlawful payment.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caps w:val="false"/>
          <w:smallCaps w:val="false"/>
          <w:sz w:val="20"/>
        </w:rPr>
        <w:t>Anti-Money Laundering Laws</w:t>
      </w:r>
      <w:r>
        <w:rPr>
          <w:rFonts w:ascii="Times New Roman;Times;Serif" w:hAnsi="Times New Roman;Times;Serif"/>
          <w:b w:val="false"/>
          <w:i w:val="false"/>
          <w:caps w:val="false"/>
          <w:smallCaps w:val="false"/>
          <w:sz w:val="20"/>
        </w:rPr>
        <w:t>. The operations of the Company and its subsidiaries and, to the knowledge of the Company, their respective affiliates, are and have been conducted at all times in compliance in all material respects with applicable financial recordkeeping and reporting requirements of the Currency and Foreign Transactions Reporting Act of 1970, the money laundering statutes of all applicable jurisdictions and the rules and regulations thereunder issued, administered or enforced by any governmental agency or body (collectively, the “</w:t>
      </w:r>
      <w:r>
        <w:rPr>
          <w:rFonts w:ascii="Times New Roman;Times;Serif" w:hAnsi="Times New Roman;Times;Serif"/>
          <w:b/>
          <w:i w:val="false"/>
          <w:caps w:val="false"/>
          <w:smallCaps w:val="false"/>
          <w:sz w:val="20"/>
        </w:rPr>
        <w:t>Anti-Money Laundering Laws</w:t>
      </w:r>
      <w:r>
        <w:rPr>
          <w:rFonts w:ascii="Times New Roman;Times;Serif" w:hAnsi="Times New Roman;Times;Serif"/>
          <w:b w:val="false"/>
          <w:i w:val="false"/>
          <w:caps w:val="false"/>
          <w:smallCaps w:val="false"/>
          <w:sz w:val="20"/>
        </w:rPr>
        <w:t>”); and no suit, action or proceeding by or before any court, governmental agency or body involving the Company or any of its subsidiaries with respect to the Anti-Money Laundering Laws is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val="false"/>
          <w:i/>
          <w:caps w:val="false"/>
          <w:smallCaps w:val="false"/>
          <w:sz w:val="20"/>
        </w:rPr>
        <w:t>OFAC</w:t>
      </w:r>
      <w:r>
        <w:rPr>
          <w:rFonts w:ascii="Times New Roman;Times;Serif" w:hAnsi="Times New Roman;Times;Serif"/>
          <w:b w:val="false"/>
          <w:i w:val="false"/>
          <w:caps w:val="false"/>
          <w:smallCaps w:val="false"/>
          <w:sz w:val="20"/>
        </w:rPr>
        <w:t>. None of the Company or any of its subsidiaries, nor, to the knowledge of the Company, any officer or director of either the Company or any of its subsidiaries, any agent, employee, affiliate or person acting on behalf of the Company or any of its subsidiaries, is or has been (i) engaged in any services (including financial services), transfers of goods, software or technology, or any other business activity related to (A) any country or territory that is the subject or target of Sanctions, including, without limitation, the Crimea Region, the so-called Donetsk People’s Republic, the so-called Luhansk People’s Republic, Cuba, Iran, North Korea and Russia (each, a “</w:t>
      </w:r>
      <w:r>
        <w:rPr>
          <w:rFonts w:ascii="Times New Roman;Times;Serif" w:hAnsi="Times New Roman;Times;Serif"/>
          <w:b/>
          <w:i w:val="false"/>
          <w:caps w:val="false"/>
          <w:smallCaps w:val="false"/>
          <w:sz w:val="20"/>
        </w:rPr>
        <w:t>Sanctioned Country</w:t>
      </w:r>
      <w:r>
        <w:rPr>
          <w:rFonts w:ascii="Times New Roman;Times;Serif" w:hAnsi="Times New Roman;Times;Serif"/>
          <w:b w:val="false"/>
          <w:i w:val="false"/>
          <w:caps w:val="false"/>
          <w:smallCaps w:val="false"/>
          <w:sz w:val="20"/>
        </w:rPr>
        <w:t>”), (B) the government of any Sanctioned Country, (C) any person, entity or organization located in, resident in, formed under the laws of, or owned or controlled by the government of, any Sanctioned Country, or (D) any person, entity or organization made subject of any sanctions administered or enforced by the United States Government, including, without limitation, the list of Specially Designated Nationals of the Office of Foreign Assets Control of the U.S. Treasury Department, or by the United Nations Security Council, the European Union, His Majesty’s Treasury, or other relevant sanctions authority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(ii) engaged in any transfers of goods, technologies or services (including financial services) that may assist the governments of Sanctioned Countries or facilitate money laundering or other activities proscribed by United States laws, rules or regulations; (iii) a person, entity or organization currently the subject of any Sanctions; or (iv) located, organized or resident in any Sanctioned Country. The Company will not directly or indirectly use the proceeds of the offering, or lend, contribute or otherwise make available such proceeds to any subsidiary, joint venture partner or other person or entity, (i) to fund or facilitate any activities or business of or with any person or entity that, at the time of such funding or facilitation, is the subject or target of Sanctions, (ii) to fund or facilitate any activities or business in any Sanctioned Country or (iii) in any other manner that will result in a violation by any person participating in the transaction, whether as underwriter, advisor, investor or otherwise,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val="false"/>
          <w:i/>
          <w:caps w:val="false"/>
          <w:smallCaps w:val="false"/>
          <w:sz w:val="20"/>
        </w:rPr>
        <w:t>Lending Relationship</w:t>
      </w:r>
      <w:r>
        <w:rPr>
          <w:rFonts w:ascii="Times New Roman;Times;Serif" w:hAnsi="Times New Roman;Times;Serif"/>
          <w:b w:val="false"/>
          <w:i w:val="false"/>
          <w:caps w:val="false"/>
          <w:smallCaps w:val="false"/>
          <w:sz w:val="20"/>
        </w:rPr>
        <w:t>. The Company (A) does not have any material lending or other relationship with any bank or lending affiliate of KBW and (B) does not intend to use any of the proceeds from the sale of the Securities to repay any outstanding debt owed to any affiliate of KBW.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val="false"/>
          <w:i/>
          <w:caps w:val="false"/>
          <w:smallCaps w:val="false"/>
          <w:sz w:val="20"/>
        </w:rPr>
        <w:t>No Restrictions on Subsidiaries</w:t>
      </w:r>
      <w:r>
        <w:rPr>
          <w:rFonts w:ascii="Times New Roman;Times;Serif" w:hAnsi="Times New Roman;Times;Serif"/>
          <w:b w:val="false"/>
          <w:i w:val="false"/>
          <w:caps w:val="false"/>
          <w:smallCaps w:val="false"/>
          <w:sz w:val="20"/>
        </w:rPr>
        <w:t>. Except in each case as otherwise disclosed in the Registration Statement, the Disclosure Package and the Prospectus, no subsidiary of the Company is currently prohibited, directly or indirectly, under any agreement or other 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val="false"/>
          <w:i/>
          <w:caps w:val="false"/>
          <w:smallCaps w:val="false"/>
          <w:sz w:val="20"/>
        </w:rPr>
        <w:t>Statistical and Market-Related Data</w:t>
      </w:r>
      <w:r>
        <w:rPr>
          <w:rFonts w:ascii="Times New Roman;Times;Serif" w:hAnsi="Times New Roman;Times;Serif"/>
          <w:b w:val="false"/>
          <w:i w:val="false"/>
          <w:caps w:val="false"/>
          <w:smallCaps w:val="false"/>
          <w:sz w:val="20"/>
        </w:rPr>
        <w:t>. The statistical and market-related data contained in the Registration Statement, the Disclosure Package and the Prospectus are based on or derived from sources which the Company believes are reliable and accurate.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val="false"/>
          <w:i/>
          <w:caps w:val="false"/>
          <w:smallCaps w:val="false"/>
          <w:sz w:val="20"/>
        </w:rPr>
        <w:t>Distribution of Offering Material By the Company</w:t>
      </w:r>
      <w:r>
        <w:rPr>
          <w:rFonts w:ascii="Times New Roman;Times;Serif" w:hAnsi="Times New Roman;Times;Serif"/>
          <w:b w:val="false"/>
          <w:i w:val="false"/>
          <w:caps w:val="false"/>
          <w:smallCaps w:val="false"/>
          <w:sz w:val="20"/>
        </w:rPr>
        <w:t xml:space="preserve">. The Company has not distributed and will not distribute, prior to the later of the Closing Time and the completion of KBW’s distribution of the Securities, any offering material in connection with the offering and sale of the Securities other than the Registration Statement, the preliminary prospectus contained in the Disclosure Package, the Prospectus, any Issuer Free Writing Prospectus reviewed and consented to by KBW and included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or any electronic road show or other written communications reviewed and consented to by KBW and listed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(each, a “</w:t>
      </w:r>
      <w:r>
        <w:rPr>
          <w:rFonts w:ascii="Times New Roman;Times;Serif" w:hAnsi="Times New Roman;Times;Serif"/>
          <w:b/>
          <w:i w:val="false"/>
          <w:caps w:val="false"/>
          <w:smallCaps w:val="false"/>
          <w:sz w:val="20"/>
        </w:rPr>
        <w:t>Company Additional Written Communication</w:t>
      </w:r>
      <w:r>
        <w:rPr>
          <w:rFonts w:ascii="Times New Roman;Times;Serif" w:hAnsi="Times New Roman;Times;Serif"/>
          <w:b w:val="false"/>
          <w:i w:val="false"/>
          <w:caps w:val="false"/>
          <w:smallCaps w:val="false"/>
          <w:sz w:val="20"/>
        </w:rPr>
        <w:t>”). Each such Company Additional Written Communication, when taken together with the Disclosure Package, did not, and at the Closing Time will not, contain any untrue statement of a material fact or omit to state a material fact necessary in order to make the statements therein, in the light of the circumstances under which they were made, not misleading. The preceding sentence does not apply to statements in or omissions from the Company Additional Written Communication based upon and in conformity with written information furnished to the Company by KBW specifically for use therein, it being understood and agreed that the only such information furnished by KBW consists of the KBW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val="false"/>
          <w:i/>
          <w:caps w:val="false"/>
          <w:smallCaps w:val="false"/>
          <w:sz w:val="20"/>
        </w:rPr>
        <w:t>IT Systems</w:t>
      </w:r>
      <w:r>
        <w:rPr>
          <w:rFonts w:ascii="Times New Roman;Times;Serif" w:hAnsi="Times New Roman;Times;Serif"/>
          <w:b w:val="false"/>
          <w:i w:val="false"/>
          <w:caps w:val="false"/>
          <w:smallCaps w:val="false"/>
          <w:sz w:val="20"/>
        </w:rPr>
        <w:t>. The Company and its subsidiaries’ information technology assets and equipment, computers, systems, networks, hardware, software, websites, applications, and databases (collectively, “</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are adequate for, and operate and perform as required in connection with the operation of the business of the Company and its subsidiaries as currently conducted, and free and clear of all bugs, errors, defects, Trojan horses, time bombs, malware and other corruptants, except where failure in the adequacy, operation or performance of such IT Systems would not, individually or in the aggregate, result in a Material Adverse Effect. The Company and its subsidiaries have implemented and maintained commercially reasonable controls, policies, procedures, and safeguards designed to maintain and protect their confidential information and the integrity, continuous operation, redundancy and security of all IT Systems and data (including all personal, personally identifiable, sensitive, confidential or regulated data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used in connection with their businesses, reasonably consistent with industry standards and practices, and, to the knowledge of the Company, there have been no breaches, violations, outages or unauthorized uses of or accesses to same, nor any incidents under internal review or investigations relating to the same, except where failure to implement or maintain such controls, policies, procedures and safeguards or the occurrence of breaches, violations, outages or unauthorized uses or accesses would not, individually or in the aggregate, result in a Material Adverse Effect. The Company and its subsidiaries are presently in compliance with all applicable laws or statutes and all applicable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where failure in compliance would not, individually or in the aggregate,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w:t>
      </w:r>
      <w:r>
        <w:rPr>
          <w:rFonts w:ascii="Times New Roman;Times;Serif" w:hAnsi="Times New Roman;Times;Serif"/>
          <w:b w:val="false"/>
          <w:i/>
          <w:caps w:val="false"/>
          <w:smallCaps w:val="false"/>
          <w:sz w:val="20"/>
        </w:rPr>
        <w:t>Forward-Looking Statements</w:t>
      </w:r>
      <w:r>
        <w:rPr>
          <w:rFonts w:ascii="Times New Roman;Times;Serif" w:hAnsi="Times New Roman;Times;Serif"/>
          <w:b w:val="false"/>
          <w:i w:val="false"/>
          <w:caps w:val="false"/>
          <w:smallCaps w:val="false"/>
          <w:sz w:val="20"/>
        </w:rPr>
        <w:t>. Each financial or operational projection or other “forward-looking statement” (as defined by Section 27A of the Securities Act or Section 21E of the Exchange Act) contained in the Registration Statement, the Disclosure Package and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w:t>
      </w:r>
      <w:r>
        <w:rPr>
          <w:rFonts w:ascii="Times New Roman;Times;Serif" w:hAnsi="Times New Roman;Times;Serif"/>
          <w:b w:val="false"/>
          <w:i/>
          <w:caps w:val="false"/>
          <w:smallCaps w:val="false"/>
          <w:sz w:val="20"/>
        </w:rPr>
        <w:t>No Brokers</w:t>
      </w:r>
      <w:r>
        <w:rPr>
          <w:rFonts w:ascii="Times New Roman;Times;Serif" w:hAnsi="Times New Roman;Times;Serif"/>
          <w:b w:val="false"/>
          <w:i w:val="false"/>
          <w:caps w:val="false"/>
          <w:smallCaps w:val="false"/>
          <w:sz w:val="20"/>
        </w:rPr>
        <w:t>. Other than as contemplated by this Agreement, there is no broker, finder or other party that is entitled to receive from the Company or any subsidiary any brokerage or finder’s fee or any other fee, commission or payment as a result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val="false"/>
          <w:i/>
          <w:caps w:val="false"/>
          <w:smallCaps w:val="false"/>
          <w:sz w:val="20"/>
        </w:rPr>
        <w:t>Deposit Insurance</w:t>
      </w:r>
      <w:r>
        <w:rPr>
          <w:rFonts w:ascii="Times New Roman;Times;Serif" w:hAnsi="Times New Roman;Times;Serif"/>
          <w:b w:val="false"/>
          <w:i w:val="false"/>
          <w:caps w:val="false"/>
          <w:smallCaps w:val="false"/>
          <w:sz w:val="20"/>
        </w:rPr>
        <w:t>. The deposit accounts of the Bank are insured by the FDIC up to applicable legal limits, the Bank has paid all premiums and assessments required by the FDIC and the regulations thereunder, and no proceeding for the termination or revocation of such insurance is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w:t>
      </w:r>
      <w:r>
        <w:rPr>
          <w:rFonts w:ascii="Times New Roman;Times;Serif" w:hAnsi="Times New Roman;Times;Serif"/>
          <w:b w:val="false"/>
          <w:i/>
          <w:caps w:val="false"/>
          <w:smallCaps w:val="false"/>
          <w:sz w:val="20"/>
        </w:rPr>
        <w:t>Derivative Instruments</w:t>
      </w:r>
      <w:r>
        <w:rPr>
          <w:rFonts w:ascii="Times New Roman;Times;Serif" w:hAnsi="Times New Roman;Times;Serif"/>
          <w:b w:val="false"/>
          <w:i w:val="false"/>
          <w:caps w:val="false"/>
          <w:smallCaps w:val="false"/>
          <w:sz w:val="20"/>
        </w:rPr>
        <w:t>. Except as has not resulted in or would not reasonably be expected to result in a Material Adverse Effect, any and all material swaps, caps, floors, futures, forward contracts, option agreements (other than options issued under the Company’s shareholder-approved benefit plans) and other derivative financial instruments, contracts or arrangements, whether entered into for the account of the Company or one of its subsidiaries or for the account of a customer of the Company or one of its subsidiaries, were entered into in the ordinary course of business and in accordance with applicable laws, rules, regulations and policies of all applicable regulatory agencies and with counterparties believed by the Company to be financially responsible. The Company and each of its subsidiaries have duly performed in all material respects all of their obligations thereunder to the extent that such obligations to perform have accrued, and there are no breaches, violations or defaults or allegations or assertions of such by any party thereunder except as could not,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           </w:t>
      </w:r>
      <w:r>
        <w:rPr>
          <w:rFonts w:ascii="Times New Roman;Times;Serif" w:hAnsi="Times New Roman;Times;Serif"/>
          <w:b w:val="false"/>
          <w:i/>
          <w:caps w:val="false"/>
          <w:smallCaps w:val="false"/>
          <w:sz w:val="20"/>
        </w:rPr>
        <w:t>Margin Rules</w:t>
      </w:r>
      <w:r>
        <w:rPr>
          <w:rFonts w:ascii="Times New Roman;Times;Serif" w:hAnsi="Times New Roman;Times;Serif"/>
          <w:b w:val="false"/>
          <w:i w:val="false"/>
          <w:caps w:val="false"/>
          <w:smallCaps w:val="false"/>
          <w:sz w:val="20"/>
        </w:rPr>
        <w:t>. The application of the proceeds received by the Company from the issuance, sale and delivery of the Securities as described in the Disclosure Package and the Prospectus will not violate Regulation T, U or X of the Federal Reserve or any other regulation of the Federal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        </w:t>
      </w:r>
      <w:r>
        <w:rPr>
          <w:rFonts w:ascii="Times New Roman;Times;Serif" w:hAnsi="Times New Roman;Times;Serif"/>
          <w:b w:val="false"/>
          <w:i/>
          <w:caps w:val="false"/>
          <w:smallCaps w:val="false"/>
          <w:sz w:val="20"/>
        </w:rPr>
        <w:t>Off-Balance Sheet Transactions</w:t>
      </w:r>
      <w:r>
        <w:rPr>
          <w:rFonts w:ascii="Times New Roman;Times;Serif" w:hAnsi="Times New Roman;Times;Serif"/>
          <w:b w:val="false"/>
          <w:i w:val="false"/>
          <w:caps w:val="false"/>
          <w:smallCaps w:val="false"/>
          <w:sz w:val="20"/>
        </w:rPr>
        <w:t>. There is no transaction, arrangement or other relationship between the Company or any of its subsidiaries and an unconsolidated or other off-balance sheet entity which is required to be disclosed in the Disclosure Package and the Prospectus (other than as disclosed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          </w:t>
      </w:r>
      <w:r>
        <w:rPr>
          <w:rFonts w:ascii="Times New Roman;Times;Serif" w:hAnsi="Times New Roman;Times;Serif"/>
          <w:b w:val="false"/>
          <w:i/>
          <w:caps w:val="false"/>
          <w:smallCaps w:val="false"/>
          <w:sz w:val="20"/>
        </w:rPr>
        <w:t>Contracts</w:t>
      </w:r>
      <w:r>
        <w:rPr>
          <w:rFonts w:ascii="Times New Roman;Times;Serif" w:hAnsi="Times New Roman;Times;Serif"/>
          <w:b w:val="false"/>
          <w:i w:val="false"/>
          <w:caps w:val="false"/>
          <w:smallCaps w:val="false"/>
          <w:sz w:val="20"/>
        </w:rPr>
        <w:t>. The material contracts or agreements to which the Company or any of its subsidiaries is a party have been duly and validly authorized, executed and delivered by the Company or its subsidiaries, as the case may be, and constitute the legal, valid and binding agreements of the Company or its subsidiaries, enforceable by and against it in accordance with their respective terms, except as such enforceability may be limited by applicable bankruptcy, insolvency, reorganization or other similar laws relating to enforcement of creditors’ rights generally, and general equitable principles relating to the availability of remedies, and subject to 12 U.S.C. § 1818(b)(6)(D) (or any successor statute) and similar bank regulatory powers and to the application of principles of public policy, and except as rights to indemnity or contribution may be limited by federal or state securities laws and the public policy underlying such laws. Except as would not reasonably be expected to have a Material Adverse Effect, neither the Company nor any subsidiary has sent or received any communication regarding termination of, or intent not to renew, any of the material contracts or agreements, and no such termination or non-renewal has been threatened by the Company or any subsidiary or, to the Company’s knowledge, any other party to any such material contract or agreement; and there are no contracts or documents of the Company or any of its subsidiaries that are required to be described in the Disclosure Package and the Prospectus or to be filed as exhibits thereto (or to the Registration Statement or the documents incorporated or deemed to be incorporated by reference therein) by the Securities Act or by the rules and regulations of the Commission thereunder that have not been so described and filed.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          </w:t>
      </w:r>
      <w:r>
        <w:rPr>
          <w:rFonts w:ascii="Times New Roman;Times;Serif" w:hAnsi="Times New Roman;Times;Serif"/>
          <w:b w:val="false"/>
          <w:i/>
          <w:caps w:val="false"/>
          <w:smallCaps w:val="false"/>
          <w:sz w:val="20"/>
        </w:rPr>
        <w:t>Officer’s Certificates</w:t>
      </w:r>
      <w:r>
        <w:rPr>
          <w:rFonts w:ascii="Times New Roman;Times;Serif" w:hAnsi="Times New Roman;Times;Serif"/>
          <w:b w:val="false"/>
          <w:i w:val="false"/>
          <w:caps w:val="false"/>
          <w:smallCaps w:val="false"/>
          <w:sz w:val="20"/>
        </w:rPr>
        <w:t>. Any certificate signed by any officer of the Company or any of its subsidiaries delivered to KBW or to counsel for KBW pursuant to this Agreement shall be deemed a representation and warranty by the Company to KBW as to the matters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Sale and Delivery to KBW; Closing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Securities</w:t>
      </w:r>
      <w:r>
        <w:rPr>
          <w:rFonts w:ascii="Times New Roman;Times;Serif" w:hAnsi="Times New Roman;Times;Serif"/>
          <w:b w:val="false"/>
          <w:i w:val="false"/>
          <w:caps w:val="false"/>
          <w:smallCaps w:val="false"/>
          <w:sz w:val="20"/>
        </w:rPr>
        <w:t>. On the basis of the representations and warranties herein contained and subject to the terms and conditions herein set forth, the Company agrees to sell to KBW, and KBW agrees to purchase from the Company, the full aggregate principal amount of the Securities, at a purchase price equal to 98.75% of the aggregate principal amount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Delivery</w:t>
      </w:r>
      <w:r>
        <w:rPr>
          <w:rFonts w:ascii="Times New Roman;Times;Serif" w:hAnsi="Times New Roman;Times;Serif"/>
          <w:b w:val="false"/>
          <w:i w:val="false"/>
          <w:caps w:val="false"/>
          <w:smallCaps w:val="false"/>
          <w:sz w:val="20"/>
        </w:rPr>
        <w:t>. Delivery of the Securities shall be made at the offices of Skadden, Arps, Slate, Meagher &amp; Flom LLP, One Manhattan West, New York, New York 10001, or such other place as may be agreed to by KBW and the Company, and payment of the purchase price for the Securities shall be made by KBW to the Company by wire transfer of immediately available funds contemporaneous with closing at such place as shall be agreed upon by KBW and the Company, no later than 10:00 a.m. (New York City time) on September 30, 2026, or such other time not later than ten (10) business days after such date as shall be agreed upon by KBW and the Company (such time and date of payment and delivery being herein called the “</w:t>
      </w:r>
      <w:r>
        <w:rPr>
          <w:rFonts w:ascii="Times New Roman;Times;Serif" w:hAnsi="Times New Roman;Times;Serif"/>
          <w:b/>
          <w:i w:val="false"/>
          <w:caps w:val="false"/>
          <w:smallCaps w:val="false"/>
          <w:sz w:val="20"/>
        </w:rPr>
        <w:t>Closing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Payment</w:t>
      </w:r>
      <w:r>
        <w:rPr>
          <w:rFonts w:ascii="Times New Roman;Times;Serif" w:hAnsi="Times New Roman;Times;Serif"/>
          <w:b w:val="false"/>
          <w:i w:val="false"/>
          <w:caps w:val="false"/>
          <w:smallCaps w:val="false"/>
          <w:sz w:val="20"/>
        </w:rPr>
        <w:t>. Payment for the Securities purchased by KBW shall be made to the Company by wire transfer of immediately available funds to a bank designated by the Company, against delivery to KBW of one or more global notes representing the Securities (collectively, the “</w:t>
      </w:r>
      <w:r>
        <w:rPr>
          <w:rFonts w:ascii="Times New Roman;Times;Serif" w:hAnsi="Times New Roman;Times;Serif"/>
          <w:b/>
          <w:i w:val="false"/>
          <w:caps w:val="false"/>
          <w:smallCaps w:val="false"/>
          <w:sz w:val="20"/>
        </w:rPr>
        <w:t>Global Note</w:t>
      </w:r>
      <w:r>
        <w:rPr>
          <w:rFonts w:ascii="Times New Roman;Times;Serif" w:hAnsi="Times New Roman;Times;Serif"/>
          <w:b w:val="false"/>
          <w:i w:val="false"/>
          <w:caps w:val="false"/>
          <w:smallCaps w:val="false"/>
          <w:sz w:val="20"/>
        </w:rPr>
        <w:t>”) to be purchased by KBW. The Securities represented by the Global Note shall be in such denominations and registered in such names as KBW may request in writing at least one full business day prior to the Closing Time. The Global Note shall be made available for examination by KBW not later than 10:00 a.m. (New York City time) on the business day prior to the Closing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performing its duties under this Agreement, KBW shall be entitled to rely upon any notice, signature or writing that KBW shall in good faith believe to be genuine and to be signed or presented by a proper party or parties. KBW may rely upon any opinions or certificates or other documents delivered by the Company or its counsel or designees to it.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 The Company covenants with KBW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Compliance with Commission Requests</w:t>
      </w:r>
      <w:r>
        <w:rPr>
          <w:rFonts w:ascii="Times New Roman;Times;Serif" w:hAnsi="Times New Roman;Times;Serif"/>
          <w:b w:val="false"/>
          <w:i w:val="false"/>
          <w:caps w:val="false"/>
          <w:smallCaps w:val="false"/>
          <w:sz w:val="20"/>
        </w:rPr>
        <w:t>. Until the Closing Time, the Company, subject to SECTION 3(b) hereof, will comply with the requirements of Rule 430B, and will notify KBW promptly, and confirm the notice in writing, (i) when any post-effective amendment to the Registration Statement or any new registration statement relating to the Securities shall become effective or any amendment or supplement to the Disclosure Package or the Prospectus shall have been used or filed, as the case may be, including any document incorporated by reference therein, in each case only as permitted by SECTION 3 hereof, (ii) of the receipt of any comments from the Commission, (iii) of any request by the Commission for any amendment to the Registration Statement or any amendment or supplement to the Disclosure Package or the Prospectus, including any document incorporated by reference therein, or for additional information, (iv) of the issuance by the Commission of any stop order suspending the effectiveness of the Registration Statement or any post-effective amendment thereto or of the issuance of any order preventing or suspending the use of any preliminary prospectus or the Prospectus or any amendment or supplement thereto, or of the suspension of the qualification of the Securities for offering or sale in any jurisdiction, or of the initiation or threatening of any proceedings for any of such purposes or of any examination pursuant to Section 8(d) or 8(e) of the Securities Act concerning the Registration Statement and (v) if the Company becomes the subject of a proceeding under Section 8A of the Securities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Until the Closing Time, the Company will make every reasonable effort to prevent the issuance of any stop, prevention or suspension order and, if any such order is issued, to obtain the lifting thereof at the earliest possible moment.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Continued Compliance with Securities Laws</w:t>
      </w:r>
      <w:r>
        <w:rPr>
          <w:rFonts w:ascii="Times New Roman;Times;Serif" w:hAnsi="Times New Roman;Times;Serif"/>
          <w:b w:val="false"/>
          <w:i w:val="false"/>
          <w:caps w:val="false"/>
          <w:smallCaps w:val="false"/>
          <w:sz w:val="20"/>
        </w:rPr>
        <w:t>. The Company will comply with the Securities Act, the Securities Act Regulations, the Exchange Act, the Exchange Act Regulations, the TIA and the TIA Regulations so as to permit the completion of the distribution of the Securities as contemplated in this Agreement and in the Registration Statement, the Disclosure Package and the Prospectus. If at any time when a prospectus relating to the Securities is (or, but for the exception afforded by Rule 172 under the Securities Act Regulations, would be) required by the Securities Act to be delivered in connection with sales of the Securities ending no later than nine (9) months from the date hereof (the “</w:t>
      </w:r>
      <w:r>
        <w:rPr>
          <w:rFonts w:ascii="Times New Roman;Times;Serif" w:hAnsi="Times New Roman;Times;Serif"/>
          <w:b/>
          <w:i w:val="false"/>
          <w:caps w:val="false"/>
          <w:smallCaps w:val="false"/>
          <w:sz w:val="20"/>
        </w:rPr>
        <w:t>Delivery Period</w:t>
      </w:r>
      <w:r>
        <w:rPr>
          <w:rFonts w:ascii="Times New Roman;Times;Serif" w:hAnsi="Times New Roman;Times;Serif"/>
          <w:b w:val="false"/>
          <w:i w:val="false"/>
          <w:caps w:val="false"/>
          <w:smallCaps w:val="false"/>
          <w:sz w:val="20"/>
        </w:rPr>
        <w:t>”), any event shall occur or condition shall exist as a result of which it is necessary, in the opinion of counsel for KBW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Disclosure Package or the Prospectus in order that the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Disclosure Package or the Prospectus, as the case may be, including, without limitation, any document incorporated therein by reference, in order to comply with the requirements of the Securities Act, the Securities Act Regulations, the Exchange Act, the Exchange Act Regulations, the TIA or the TIA Regulations, the Company will promptly (A) give KBW written notice of such event or condition, (B) prepare any amendment or supplement as may be necessary to correct such statement or omission or to make the Registration Statement, the Disclosure Package or the Prospectus comply with such requirements and, a reasonable amount of time prior to any proposed filing or use, furnish KBW with copies of any such amendment or supplement and (C) file with the Commission any such amendment or supplement and use its best efforts to have any amendment to the Registration Statement declared effective by the Commission as soon as possible; provided that the Company shall not file or use any such amendment or supplement to which KBW or counsel for KBW shall object. If at any time during the Delivery Period, any event shall occur or condition shall exist as a result of which the Disclosure Package or such Issuer Free Writing Prospectus, individually or together with other information that is part of the Disclosure Package, as the case may be, conflicted or would conflict with the information contained in the Registration Statement or any other registration statement relating to the Securities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KBW and will promptly amend or supplement, at the Company’s own expense, the Disclosure Package or such Issuer Free Writing Prospectus, as the case may be, to eliminate or correct such conflict, untrue statement or omission.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Filing or Use of Amendments or Supplements</w:t>
      </w:r>
      <w:r>
        <w:rPr>
          <w:rFonts w:ascii="Times New Roman;Times;Serif" w:hAnsi="Times New Roman;Times;Serif"/>
          <w:b w:val="false"/>
          <w:i w:val="false"/>
          <w:caps w:val="false"/>
          <w:smallCaps w:val="false"/>
          <w:sz w:val="20"/>
        </w:rPr>
        <w:t>. During the Delivery Period, the Company (i) will furnish to KBW for review, a reasonable period of time prior to the proposed time of filing of any proposed amendment or supplement to the Registration Statement, a copy of each such amendment or supplement, and (ii) will not amend or supplement the Registration Statement without KBW’s prior written consent, which consent shall not be unreasonably withheld or delayed. Prior to amending or supplementing any preliminary prospectus or the Prospectus, the Company shall furnish to KBW for review, a reasonable amount of time prior to the time of filing or use of the proposed amendment or supplement, a copy of each such proposed amendment or supplement. The Company shall not file or use any such proposed amendment or supplement without KBW’s prior written consent, which consent shall not be unreasonably withheld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Delivery of Registration Statements</w:t>
      </w:r>
      <w:r>
        <w:rPr>
          <w:rFonts w:ascii="Times New Roman;Times;Serif" w:hAnsi="Times New Roman;Times;Serif"/>
          <w:b w:val="false"/>
          <w:i w:val="false"/>
          <w:caps w:val="false"/>
          <w:smallCaps w:val="false"/>
          <w:sz w:val="20"/>
        </w:rPr>
        <w:t>. The Company has furnished or will deliver, upon request, to KBW and counsel for KBW, without charge, signed copies of the Registration Statement as originally filed and each amendment thereto (including exhibits filed therewith or incorporated by reference therein and documents incorporated or deemed to be incorporated by reference therein) and signed copies of all consents and certificates of experts, and will also deliver to KBW, upon request, without charge, a conformed copy of the Registration Statement as originally filed and each amendment thereto (without exhibits) for KBW. Any such signed copies of the Registration Statement and each amendment thereto furnished to KBW will be identical to the electronically transmitted copies thereof filed with the Commission pursuant to EDGAR, except to the extent permitted by Regulation 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Delivery of Prospectuses</w:t>
      </w:r>
      <w:r>
        <w:rPr>
          <w:rFonts w:ascii="Times New Roman;Times;Serif" w:hAnsi="Times New Roman;Times;Serif"/>
          <w:b w:val="false"/>
          <w:i w:val="false"/>
          <w:caps w:val="false"/>
          <w:smallCaps w:val="false"/>
          <w:sz w:val="20"/>
        </w:rPr>
        <w:t>. The Company has delivered to KBW, without charge, as many copies of each preliminary prospectus as KBW reasonably requested, and the Company hereby consents to the use of such copies for purposes permitted by the Securities Act. The Company will furnish to KBW, without charge, during the Delivery Period, such number of copies of the Prospectus (as amended or supplemented) as KBW may reasonably request, unless, with the prior consent of KBW, such delivery requirement can be satisfied by the provisions of Rule 172 under the Securities Act. The Prospectus and any amendments or supplements thereto furnished to KBW will be identical to the electronically transmitted copies thereof filed with the Commission pursuant to EDGAR, except to the extent permitted by Regulation S-T.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Blue Sky Qualifications</w:t>
      </w:r>
      <w:r>
        <w:rPr>
          <w:rFonts w:ascii="Times New Roman;Times;Serif" w:hAnsi="Times New Roman;Times;Serif"/>
          <w:b w:val="false"/>
          <w:i w:val="false"/>
          <w:caps w:val="false"/>
          <w:smallCaps w:val="false"/>
          <w:sz w:val="20"/>
        </w:rPr>
        <w:t>. The Company will use its best efforts, in cooperation with KBW, to qualify the Securities for offering and sale under the applicable securities laws of such states and non-U.S. jurisdictions as KBW may reasonably designate and to maintain such qualifications in effect during the Delivery Period; provided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Earnings Statements</w:t>
      </w:r>
      <w:r>
        <w:rPr>
          <w:rFonts w:ascii="Times New Roman;Times;Serif" w:hAnsi="Times New Roman;Times;Serif"/>
          <w:b w:val="false"/>
          <w:i w:val="false"/>
          <w:caps w:val="false"/>
          <w:smallCaps w:val="false"/>
          <w:sz w:val="20"/>
        </w:rPr>
        <w:t>. The Company will timely file such reports pursuant to the Exchange Act as are necessary in order to make generally available to its securityholders as soon as practicable an earnings statement for the purposes of, and to provide to KBW the benefits contemplated by, the last paragraph of Section 11(a)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Reporting Requirements</w:t>
      </w:r>
      <w:r>
        <w:rPr>
          <w:rFonts w:ascii="Times New Roman;Times;Serif" w:hAnsi="Times New Roman;Times;Serif"/>
          <w:b w:val="false"/>
          <w:i w:val="false"/>
          <w:caps w:val="false"/>
          <w:smallCaps w:val="false"/>
          <w:sz w:val="20"/>
        </w:rPr>
        <w:t>. The Company, during the Delivery Period, will file all documents required to be filed with the Commission by the Company pursuant to the Exchange Act within the time periods required by, and each such document will meet the requirements of, the Exchange Act and the Exchange Act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The Company will use the net proceeds received by it from the sale of the Securities as described in the Registration Statement, the Prospectus and the Disclosure Package under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Issuer Free Writing Prospectuses</w:t>
      </w:r>
      <w:r>
        <w:rPr>
          <w:rFonts w:ascii="Times New Roman;Times;Serif" w:hAnsi="Times New Roman;Times;Serif"/>
          <w:b w:val="false"/>
          <w:i w:val="false"/>
          <w:caps w:val="false"/>
          <w:smallCaps w:val="false"/>
          <w:sz w:val="20"/>
        </w:rPr>
        <w:t xml:space="preserve">. The Company agrees that, unless it obtains the prior written consent of KBW, and KBW agrees that, unless it obtains the prior written consent of the Company, it will not make 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KBW will be deemed to have consented to any Issuer General Use Free Writing Prospectuses listed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and any “road show that is a written communication” within the meaning of Rule 433(d)(8)(i) that has been reviewed by KBW. The Company represents that it has treated or agrees that it will treat each such free writing prospectus consented to, or deemed consented to, by KBW as an Issuer Free Writing Prospectus and that it has complied and will comply with the applicable requirements of Rule 433 with respect thereto, including timely filing with the Commission where required, legending and record keeping. If at any time following issuance of an Issuer Free Writing Prospectus during the Delivery Period there occurred or occurs an event or condition as a result of which such Issuer Free Writing Prospectus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KBW in writing and will promptly amend or supplement, at its own expense, such Issuer Free Writing Prospectus to correct such untrue statement or omission.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consent of KBW required in the immediately preceding paragraph, the Company will prepare a final term sheet relating solely to the final pricing terms of the Securities and will file such final term sheet within the period required by Rule 433(d)(5)(ii) following the date such final terms have been established for such Securities. Any such final term sheet is an Issuer General Use Free Writing Prospectus for purposes of this Agreement. Notwithstanding anything to the contrary contained herein, the Company consents to the use by KBW of a free writing prospectus that contains only (a) (i) information describing the preliminary terms of the Securities generally or the Securities specifically or their offering or (ii) information that describes the final terms of the Securities or their offering and that is or is to be included in the final term sheet of the Company contemplated in the first sentence of this paragraph or (b) other customary information that is not “issuer information,” as defined in Rule 433.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The Company will cooperate with KBW and use its best efforts to permit the Securities to be eligible for clearance, settlement and trading through the facilities of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Investment Company Act</w:t>
      </w:r>
      <w:r>
        <w:rPr>
          <w:rFonts w:ascii="Times New Roman;Times;Serif" w:hAnsi="Times New Roman;Times;Serif"/>
          <w:b w:val="false"/>
          <w:i w:val="false"/>
          <w:caps w:val="false"/>
          <w:smallCaps w:val="false"/>
          <w:sz w:val="20"/>
        </w:rPr>
        <w:t>. During the Delivery Period, the Company shall not invest or otherwise use the proceeds received by the Company from the sale of the Securities in such a manner as could require the Company or any of the subsidiaries to register as an investment company under the Investment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No Stabilization</w:t>
      </w:r>
      <w:r>
        <w:rPr>
          <w:rFonts w:ascii="Times New Roman;Times;Serif" w:hAnsi="Times New Roman;Times;Serif"/>
          <w:b w:val="false"/>
          <w:i w:val="false"/>
          <w:caps w:val="false"/>
          <w:smallCaps w:val="false"/>
          <w:sz w:val="20"/>
        </w:rPr>
        <w:t>. The Company will not take, and will ensure that no affiliate of the Company will take, directly or indirectly, any action designed to cause or result in or which constitutes or might reasonably be expected to constitute stabilization or manipulation of the price of the Securities or any reference security with respect to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Trademarks</w:t>
      </w:r>
      <w:r>
        <w:rPr>
          <w:rFonts w:ascii="Times New Roman;Times;Serif" w:hAnsi="Times New Roman;Times;Serif"/>
          <w:b w:val="false"/>
          <w:i w:val="false"/>
          <w:caps w:val="false"/>
          <w:smallCaps w:val="false"/>
          <w:sz w:val="20"/>
        </w:rPr>
        <w:t>. Upon request of KBW, the Company will furnish, or cause to be furnished, to KBW an electronic version of the Company’s trademarks, service marks and corporate logo for use on the website, if any, operated by KBW for the purpose of facilitating the on-line offering of the Securities (the “</w:t>
      </w:r>
      <w:r>
        <w:rPr>
          <w:rFonts w:ascii="Times New Roman;Times;Serif" w:hAnsi="Times New Roman;Times;Serif"/>
          <w:b/>
          <w:i w:val="false"/>
          <w:caps w:val="false"/>
          <w:smallCaps w:val="false"/>
          <w:sz w:val="20"/>
        </w:rPr>
        <w:t>License</w:t>
      </w:r>
      <w:r>
        <w:rPr>
          <w:rFonts w:ascii="Times New Roman;Times;Serif" w:hAnsi="Times New Roman;Times;Serif"/>
          <w:b w:val="false"/>
          <w:i w:val="false"/>
          <w:caps w:val="false"/>
          <w:smallCaps w:val="false"/>
          <w:sz w:val="20"/>
        </w:rPr>
        <w:t>”); provided that the License shall be used solely for the purpose described above, is granted without any fee and may not be assigned or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NRSRO Rating</w:t>
      </w:r>
      <w:r>
        <w:rPr>
          <w:rFonts w:ascii="Times New Roman;Times;Serif" w:hAnsi="Times New Roman;Times;Serif"/>
          <w:b w:val="false"/>
          <w:i w:val="false"/>
          <w:caps w:val="false"/>
          <w:smallCaps w:val="false"/>
          <w:sz w:val="20"/>
        </w:rPr>
        <w:t>. The Company will use commercially reasonable efforts to maintain a rating by a “nationally recognized statistical rating organization” as defined in Section 3(a)(62) of the Exchange Act (“</w:t>
      </w:r>
      <w:r>
        <w:rPr>
          <w:rFonts w:ascii="Times New Roman;Times;Serif" w:hAnsi="Times New Roman;Times;Serif"/>
          <w:b/>
          <w:i w:val="false"/>
          <w:caps w:val="false"/>
          <w:smallCaps w:val="false"/>
          <w:sz w:val="20"/>
        </w:rPr>
        <w:t>NRSRO</w:t>
      </w:r>
      <w:r>
        <w:rPr>
          <w:rFonts w:ascii="Times New Roman;Times;Serif" w:hAnsi="Times New Roman;Times;Serif"/>
          <w:b w:val="false"/>
          <w:i w:val="false"/>
          <w:caps w:val="false"/>
          <w:smallCaps w:val="false"/>
          <w:sz w:val="20"/>
        </w:rPr>
        <w:t>”) while any Securities remain outstanding.</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Whether or not the transactions contemplated by this Agreement are consummated or this Agreement is terminated, the Company covenants and agrees with KBW that the Company will pay or cause to be paid all expenses incident to the performance of its obligations under this Agreement or the transactions contemplated hereby, including (i) the preparation, printing and delivery to KBW of this Agreement and such other documents as may be required in connection with the offering, purchase, sale, issuance or delivery of the Securities, (ii) the delivery to KBW of copies of each preliminary prospectus, each Issuer Free Writing Prospectus and the Prospectus and any amendments or supplements thereto and any costs associated with electronic delivery of any of the foregoing by KBW to investors, (iii) the preparation, issuance and delivery of the Securities to KBW, (iv) the fees and disbursements of the Company’s counsel, accountants and other advisors, (v) the qualification of the Securities under securities laws in accordance with the provisions of SECTION 3(f) hereof, including filing fees and the reasonable fees and disbursements of counsel for KBW in connection therewith and in connection with the preparation, printing and delivery to KBW of any Blue Sky Survey and any supplement thereto, and the fees and expenses of making the Securities eligible for clearance, settlement and trading through the facilities of DTC, (vi) any fees payable in connection with the rating of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in connection with the road show presentations, and any travel and lodging expenses of the representatives and officers of the Company and any such consultants, (viii) any filing fees incident to, and the reasonable fees and disbursements of counsel to KBW incurred in connection with determining KBW’s compliance with FINRA rules and regulations applicable to its participation in the offering and the sale of the Securities, (ix) fees and disbursements of the Trustee and its counsel and (x) the fees and expenses including, without limitation, the fees and expenses of counsel for KBW, marketing and syndication expenses, and any expenses related to an investor presentation and/or roadshow that are incurred by KBW and (xi) all other costs and expenses incident to the performance of the obligations of the Company hereunder for which provision is not otherwise made in this SECTION 4(a); provided that the amount of fees and expenses to be paid by the Company pursuant to subclauses (v), (viii) and (x) herein shall not exceed $225,000 in the aggregate; provided that except as provided in this Section, SECTION 7, SECTION 10(a) and SECTION 11 hereof, KBW will pay all of its own costs and expenses, including transfer taxes on resale of any of the Securities by it and the cost of preparing and distributing any term sheet prepared by KBW.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Termination of Agreement</w:t>
      </w:r>
      <w:r>
        <w:rPr>
          <w:rFonts w:ascii="Times New Roman;Times;Serif" w:hAnsi="Times New Roman;Times;Serif"/>
          <w:b w:val="false"/>
          <w:i w:val="false"/>
          <w:caps w:val="false"/>
          <w:smallCaps w:val="false"/>
          <w:sz w:val="20"/>
        </w:rPr>
        <w:t>. If this Agreement is terminated by KBW in accordance with the provisions of SECTION 6, SECTION 10(a) or SECTION 11 hereof, the Company shall reimburse KBW for all of its out-of-pocket expenses, including the reasonable and documented fees and expenses of counsel for KBW.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Use of Free Writing Prospectuses by KBW</w:t>
      </w:r>
      <w:r>
        <w:rPr>
          <w:rFonts w:ascii="Times New Roman;Times;Serif" w:hAnsi="Times New Roman;Times;Serif"/>
          <w:b w:val="false"/>
          <w:i w:val="false"/>
          <w:caps w:val="false"/>
          <w:smallCaps w:val="false"/>
          <w:sz w:val="20"/>
        </w:rPr>
        <w:t>. KBW represents and agrees that, unless it obtains the prior consent of the Company, it has not made and will not make any offer relating to the Securities that would constitute an Issuer Free Writing Prospectus, or that would otherwise constitute a “free writing prospectus,” as defined in Rule 405, required to be filed with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Conditions of KBW’s Obligations</w:t>
      </w:r>
      <w:r>
        <w:rPr>
          <w:rFonts w:ascii="Times New Roman;Times;Serif" w:hAnsi="Times New Roman;Times;Serif"/>
          <w:b w:val="false"/>
          <w:i w:val="false"/>
          <w:caps w:val="false"/>
          <w:smallCaps w:val="false"/>
          <w:sz w:val="20"/>
        </w:rPr>
        <w:t>. The obligation of KBW to purchase the Securities at the Closing Time as provided herein is subject to the accuracy 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Effectiveness of Registration Statement, etc</w:t>
      </w:r>
      <w:r>
        <w:rPr>
          <w:rFonts w:ascii="Times New Roman;Times;Serif" w:hAnsi="Times New Roman;Times;Serif"/>
          <w:b w:val="false"/>
          <w:i w:val="false"/>
          <w:caps w:val="false"/>
          <w:smallCaps w:val="false"/>
          <w:sz w:val="20"/>
        </w:rPr>
        <w:t>. The Registration Statement was filed by the Company with the Commission and has been declared effective not earlier than three years prior to the date hereof. Each preliminary prospectus, each Issuer Free Writing Prospectus and the Prospectus shall have been filed as required by Rule 424(b) (without reliance on Rule 424(b)(8)) and Rule 433, as applicable, within the time period prescribed by, and in compliance with, the Securities Act Regulations. At the Closing Time, no stop order suspending the effectiveness of the Registration Statement or any post-effective amendment thereto shall have been issued under the Securities Act or proceedings therefor initiated or threatened by the Commission, no order preventing or suspending the use of any preliminary prospectus or the Prospectus or any amendment or supplement thereto has been issued and no proceedings for any of those purposes have been instituted or are pending or, to the Company’s knowledge, contemplated. The Company has complied with each request (if any) from the Commission for additional information with respect to the Registration Statement. The Company shall have paid the required Commission filing fees relating to the Securities within the time period required by the Securities Act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Opinion of Counsel for Company</w:t>
      </w:r>
      <w:r>
        <w:rPr>
          <w:rFonts w:ascii="Times New Roman;Times;Serif" w:hAnsi="Times New Roman;Times;Serif"/>
          <w:b w:val="false"/>
          <w:i w:val="false"/>
          <w:caps w:val="false"/>
          <w:smallCaps w:val="false"/>
          <w:sz w:val="20"/>
        </w:rPr>
        <w:t>. At the Closing Time, KBW shall have received the favorable opinion and negative assurance letter, each dated as of the Closing Time, of Troutman Pepper Locke LLP, counsel for the Company, in form and substance reasonably satisfactory to KBW. Such counsel may also state that, insofar as such opinion involves factual matters, they have relied, to the extent they deem proper, upon certificates of officers and other representatives of the Company and its subsidiaries and certificates of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Opinion of Counsel for KBW</w:t>
      </w:r>
      <w:r>
        <w:rPr>
          <w:rFonts w:ascii="Times New Roman;Times;Serif" w:hAnsi="Times New Roman;Times;Serif"/>
          <w:b w:val="false"/>
          <w:i w:val="false"/>
          <w:caps w:val="false"/>
          <w:smallCaps w:val="false"/>
          <w:sz w:val="20"/>
        </w:rPr>
        <w:t>. At the Closing Time, KBW shall have received the favorable opinion and negative assurance letter, each dated as of the Closing Time, of Skadden, Arps, Slate, Meagher &amp; Flom LLP, counsel for KBW, in form and substance reasonably satisfactory to KBW. In giving such opinion, such counsel may rely, as to all matters governed by the laws of jurisdictions other than the law of the State of New York and the federal securities laws of the United States, upon the opinion of counsel satisfactory to KBW. Such counsel may also state that, insofar as such opinion involves factual matters, they have relied, to the extent they deem proper, upon certificates of officers and other representatives of the Company and its subsidiaries and certificates of public officials.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Officers’ Certificate of the Company</w:t>
      </w:r>
      <w:r>
        <w:rPr>
          <w:rFonts w:ascii="Times New Roman;Times;Serif" w:hAnsi="Times New Roman;Times;Serif"/>
          <w:b w:val="false"/>
          <w:i w:val="false"/>
          <w:caps w:val="false"/>
          <w:smallCaps w:val="false"/>
          <w:sz w:val="20"/>
        </w:rPr>
        <w:t>. At the Closing Time, KBW shall have received a certificate of the Chief Executive Officer or the President of the Company and of the Chief Financial Officer or Chief Accounting Officer of the Company, dated as of the Closing Time, to the effect that (i) there has been no Material Adverse Effect, (ii) the representations and warranties of the Company in this Agreement are true and correct with the same force and effect as though expressly made at and as of the Closing Time, and (iii) the Company has complied with all agreements and satisfied all conditions on its part to be performed or satisfied at or prior to the Closing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Comfort Letters</w:t>
      </w:r>
      <w:r>
        <w:rPr>
          <w:rFonts w:ascii="Times New Roman;Times;Serif" w:hAnsi="Times New Roman;Times;Serif"/>
          <w:b w:val="false"/>
          <w:i w:val="false"/>
          <w:caps w:val="false"/>
          <w:smallCaps w:val="false"/>
          <w:sz w:val="20"/>
        </w:rPr>
        <w:t>. At the time of the execution of this Agreement, KBW shall have received a letter, dated as of such date, in form and substance reasonably satisfactory to KBW, from each of (i) Crowe, the Company’s independent registered public accountant, and (ii) Snodgrass, LINKBANCORP’s independent registered public accountant, containing statements and information of the type ordinarily included in accountants’ “comfort letters” to underwriters with respect to the financial statements and financial information contained in the Registration Statement, the Disclosure Package and the Prospectus, and each specified date referred to in each such letter shall be a date not more than two business days prior to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Bring-down Comfort Letters</w:t>
      </w:r>
      <w:r>
        <w:rPr>
          <w:rFonts w:ascii="Times New Roman;Times;Serif" w:hAnsi="Times New Roman;Times;Serif"/>
          <w:b w:val="false"/>
          <w:i w:val="false"/>
          <w:caps w:val="false"/>
          <w:smallCaps w:val="false"/>
          <w:sz w:val="20"/>
        </w:rPr>
        <w:t>. At the Closing Time, KBW shall have received from each of Crowe and Snodgrass a letter, dated as of the Closing Time, to the effect that such firm reaffirms the statements made in its letter furnished pursuant to SECTION 6(e) hereof and contains any statements and information of the type ordinarily included in accountants’ “comfort letters” to underwriters with respect to the financial statements and financial information contained in the Registration Statement, the Disclosure Package and the Prospectus, except that the specified date referred to therein shall be a date not more than two business days prior to the Closing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Certificate of the Chief Financial Officer</w:t>
      </w:r>
      <w:r>
        <w:rPr>
          <w:rFonts w:ascii="Times New Roman;Times;Serif" w:hAnsi="Times New Roman;Times;Serif"/>
          <w:b w:val="false"/>
          <w:i w:val="false"/>
          <w:caps w:val="false"/>
          <w:smallCaps w:val="false"/>
          <w:sz w:val="20"/>
        </w:rPr>
        <w:t>. At the time of the execution of this Agreement, KBW shall have received a certificate executed by the Chief Financial Officer, in form and substance reasonably satisfactory to KBW.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Bring-down Certificate of the Chief Financial Officer</w:t>
      </w:r>
      <w:r>
        <w:rPr>
          <w:rFonts w:ascii="Times New Roman;Times;Serif" w:hAnsi="Times New Roman;Times;Serif"/>
          <w:b w:val="false"/>
          <w:i w:val="false"/>
          <w:caps w:val="false"/>
          <w:smallCaps w:val="false"/>
          <w:sz w:val="20"/>
        </w:rPr>
        <w:t>. At the Closing Time, KBW shall have received a certificate executed by the Chief Financial Officer, in form and substance reasonably satisfactory to KBW.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Ratings</w:t>
      </w:r>
      <w:r>
        <w:rPr>
          <w:rFonts w:ascii="Times New Roman;Times;Serif" w:hAnsi="Times New Roman;Times;Serif"/>
          <w:b w:val="false"/>
          <w:i w:val="false"/>
          <w:caps w:val="false"/>
          <w:smallCaps w:val="false"/>
          <w:sz w:val="20"/>
        </w:rPr>
        <w:t>. At the Closing Time, the Securities will be rated at least BBB- by Kroll Bond Rating Agency, Inc. Subsequent to the execution of this Agreement, there shall not have occurred a downgrading in or withdrawal of the rating assigned to the Securities or any other securities of the Company by any NRSRO, and no such organization shall have publicly announced that it has under surveillance or review, or has changed its outlook with respect to, its rating of the Securities or any other securities of the Company (other than an announcement with positive implications of a possible upgrading).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At the Closing Time, the Securities shall be eligible for clearance, settlement and trading through the facilities of DTC.</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No Objection</w:t>
      </w:r>
      <w:r>
        <w:rPr>
          <w:rFonts w:ascii="Times New Roman;Times;Serif" w:hAnsi="Times New Roman;Times;Serif"/>
          <w:b w:val="false"/>
          <w:i w:val="false"/>
          <w:caps w:val="false"/>
          <w:smallCaps w:val="false"/>
          <w:sz w:val="20"/>
        </w:rPr>
        <w:t>. If applicable, FINRA shall have raised no objection with respect to the fairness and reasonableness of the underwriting terms and arrangements, which objection has not been withdrawn or otherwise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Delivery of Prospectus</w:t>
      </w:r>
      <w:r>
        <w:rPr>
          <w:rFonts w:ascii="Times New Roman;Times;Serif" w:hAnsi="Times New Roman;Times;Serif"/>
          <w:b w:val="false"/>
          <w:i w:val="false"/>
          <w:caps w:val="false"/>
          <w:smallCaps w:val="false"/>
          <w:sz w:val="20"/>
        </w:rPr>
        <w:t>. The Company shall have complied with the provisions hereof with respect to the furnishing of prospectuses, in electronic or printed format, on the business day next succeeding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No Termination Event</w:t>
      </w:r>
      <w:r>
        <w:rPr>
          <w:rFonts w:ascii="Times New Roman;Times;Serif" w:hAnsi="Times New Roman;Times;Serif"/>
          <w:b w:val="false"/>
          <w:i w:val="false"/>
          <w:caps w:val="false"/>
          <w:smallCaps w:val="false"/>
          <w:sz w:val="20"/>
        </w:rPr>
        <w:t>. On or after the date hereof, there shall not have occurred any of the events, circumstances or occurrences set forth in SECTION 10(a).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No Legal Impediment to Issuance and/or Sale</w:t>
      </w:r>
      <w:r>
        <w:rPr>
          <w:rFonts w:ascii="Times New Roman;Times;Serif" w:hAnsi="Times New Roman;Times;Serif"/>
          <w:b w:val="false"/>
          <w:i w:val="false"/>
          <w:caps w:val="false"/>
          <w:smallCaps w:val="false"/>
          <w:sz w:val="20"/>
        </w:rPr>
        <w:t>. No action shall have been taken and no statute, rule, regulation or order shall have been enacted, adopted or issued by any federal, state or foreign governmental or regulatory authority that remains in effect and would, as of the Closing Time, prevent the issuance or sale of the Securities; and no injunction or order of any federal, state or foreign court shall have been issued that remains in effect and would, as of the Closing Time, prevent the issuance or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Good Standing</w:t>
      </w:r>
      <w:r>
        <w:rPr>
          <w:rFonts w:ascii="Times New Roman;Times;Serif" w:hAnsi="Times New Roman;Times;Serif"/>
          <w:b w:val="false"/>
          <w:i w:val="false"/>
          <w:caps w:val="false"/>
          <w:smallCaps w:val="false"/>
          <w:sz w:val="20"/>
        </w:rPr>
        <w:t>. KBW shall have received on and as of the Closing Time satisfactory evidence of the good standing of the Company and the Bank in their respective jurisdictions of organization, in each case in writing or any standard form of telecommunication from the appropriate governmental authorities of such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Additional Documents</w:t>
      </w:r>
      <w:r>
        <w:rPr>
          <w:rFonts w:ascii="Times New Roman;Times;Serif" w:hAnsi="Times New Roman;Times;Serif"/>
          <w:b w:val="false"/>
          <w:i w:val="false"/>
          <w:caps w:val="false"/>
          <w:smallCaps w:val="false"/>
          <w:sz w:val="20"/>
        </w:rPr>
        <w:t>. At the Closing Time, counsel for KBW shall have been furnished with such documents, opinions and certificates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in form and substance reasonably satisfactory to KBW and counsel for KBW.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Termination of Agreement</w:t>
      </w:r>
      <w:r>
        <w:rPr>
          <w:rFonts w:ascii="Times New Roman;Times;Serif" w:hAnsi="Times New Roman;Times;Serif"/>
          <w:b w:val="false"/>
          <w:i w:val="false"/>
          <w:caps w:val="false"/>
          <w:smallCaps w:val="false"/>
          <w:sz w:val="20"/>
        </w:rPr>
        <w:t>. If any condition specified in this SECTION 6 shall not have been fulfilled when and as required to be fulfilled, this Agreement may be terminated by KBW by notice to the Company at any time prior to the Closing Time and such termination shall be without liability of any party to any other party except as provided in SECTION 4 and except that SECTION 1, SECTION 4, SECTION 7, SECTION 8, SECTION 9, SECTION 14, SECTION 15, SECTION 16 and SECTION 17 shall survive any such termination and remain in full force and effect.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Indemnification of KBW</w:t>
      </w:r>
      <w:r>
        <w:rPr>
          <w:rFonts w:ascii="Times New Roman;Times;Serif" w:hAnsi="Times New Roman;Times;Serif"/>
          <w:b w:val="false"/>
          <w:i w:val="false"/>
          <w:caps w:val="false"/>
          <w:smallCaps w:val="false"/>
          <w:sz w:val="20"/>
        </w:rPr>
        <w:t>. The Company agrees to indemnify and hold harmless KBW and its affiliates (as such term is defined in Rule 405 under the Securities Act Regulations (each, an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officers, partners, managers, directors, employees and agents, and each person, if any, who controls KBW within the meaning of Section 15 of the Securities Act or Section 20 of the Exchange Act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in any preliminary prospectus, any Issuer Free Writing Prospectus, the Disclosure Package or the Prospectus (or any amendment or supplement thereto), or the omission or alleged omission from any preliminary prospectus, any Issuer Free Writing Prospectus, the Disclosure Package or the Prospectus (or any amendment or supplement thereto) of a material fact necessary in order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7(d) hereof) any such settlement is effected with the written consent of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against any and all expense whatsoever, as incurred (including the fees and disbursements of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provided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or in any preliminary prospectus, any Issuer Free Writing Prospectus, the Disclosure Package or the Prospectus (or any amendment or supplement thereto) in reliance upon and in conformity with the KBW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Indemnification of Company, Directors and Officers</w:t>
      </w:r>
      <w:r>
        <w:rPr>
          <w:rFonts w:ascii="Times New Roman;Times;Serif" w:hAnsi="Times New Roman;Times;Serif"/>
          <w:b w:val="false"/>
          <w:i w:val="false"/>
          <w:caps w:val="false"/>
          <w:smallCaps w:val="false"/>
          <w:sz w:val="20"/>
        </w:rPr>
        <w:t>. KBW agrees to indemnify and hold harmless the Company, each of the Company’s directors, each of the Company’s officers who signed the Registration Statement, and each person, if any, who controls the Company within the meaning of Section 15 of the Securities Act or Section 20 of the Exchange Act against any and all loss, liability, claim, damage and expense described in the indemnity contained in SECTION 7(a) hereof, as incurred, but only with respect to untrue statements or omissions, or alleged untrue statements or omissions, made in the Registration Statement (or any amendment thereto), including any information deemed to be a part thereof pursuant to Rule 430B, or in any preliminary prospectus, any Issuer Free Writing Prospectus, the Disclosure Package or the Prospectus (or any amendment or supplement thereto) in reliance upon and in conformity with the KBW Information.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Actions against Parties; Notification</w:t>
      </w:r>
      <w:r>
        <w:rPr>
          <w:rFonts w:ascii="Times New Roman;Times;Serif" w:hAnsi="Times New Roman;Times;Serif"/>
          <w:b w:val="false"/>
          <w:i w:val="false"/>
          <w:caps w:val="false"/>
          <w:smallCaps w:val="false"/>
          <w:sz w:val="20"/>
        </w:rPr>
        <w:t>.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7(a) hereof, counsel to the indemnified parties shall be selected by KBW, and, in the case of parties indemnified pursuant to SECTION 7(b) hereof, counsel to the indemnified parties shall be selected by the Company. An indemnifying party may participate at its own expense in the defense of any such action or, if it so elects within a reasonable time after receipt of such notice, to assume the defense of any suit brought to enforce any such claim; but if it so elects to assume the defense, such defense shall be conducted by counsel chosen by it and approved by the indemnified parties, which approval shall not be unreasonably withheld. In the event that an indemnifying party elects to assume the defense of any such suit and retain such counsel, the indemnified party or parties shall bear the fees and expenses of any additional counsel thereafter retained by such indemnified party or parties; provided, however, that the indemnified party or parties shall have the right to employ counsel (in addition to local counsel) to represent the indemnified party or parties who may be subject to liability arising out of any action in respect of which indemnity may be sought against the indemnifying party if (i) the employment of such counsel shall have been authorized in writing by one of the indemnifying parties in connection with the defense of such action, or (ii) in the reasonable judgment of counsel for the indemnified party or parties, there may be legal defenses available to such indemnified person which are different from or in addition to those available to such indemnifying person, in which event the reasonable fees and expenses of appropriate separate counsel shall be borne by the indemnifying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7 or SECTION 8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Settlement without Consent if Failure to Reimburse</w:t>
      </w:r>
      <w:r>
        <w:rPr>
          <w:rFonts w:ascii="Times New Roman;Times;Serif" w:hAnsi="Times New Roman;Times;Serif"/>
          <w:b w:val="false"/>
          <w:i w:val="false"/>
          <w:caps w:val="false"/>
          <w:smallCaps w:val="false"/>
          <w:sz w:val="20"/>
        </w:rPr>
        <w:t>. If at any time an indemnified party shall have validly requested an indemnifying party to reimburse the indemnified party for fees and expenses of counsel, such indemnifying party agrees that it shall be liable for any settlement of the nature contemplated by SECTION 7(a)(ii) effected without its written consent if (i) such settlement is entered into more than 60 days after receipt by such indemnifying party of the aforesaid request, (ii) such indemnifying party shall have received notice of the terms of such settlement at least 45 days prior to such settlement being entered into and (iii) such indemnifying party shall not have reimbursed such indemnified party in accordance with such request prior to the date of such settlement.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If the indemnification provided for in SECTION 7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KBW,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KBW, on the other hand, in connection with the statements or omissions which resulted in such losses, liabilities, claims, damages or expenses, as well as any other relevant equitable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benefits received by the Company, on the one hand, and KBW, on the other hand, in connection with the offering of the Securities pursuant to this Agreement shall be deemed to be in the same respective proportions as the total proceeds from the offering of the Securities pursuant to this Agreement (before deducting expenses) received by the Company, on the one hand, and the total underwriting discount received by KBW, on the other hand, in each case as set forth on the cover of the Prospectus, bear to the aggregate initial public offering price of the Securities as set forth on the cover of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fault of the Company, on the one hand, and KBW, on the other hand, shall be determined by reference to, among other things, whether any such untrue or alleged untrue statement of a material fact or omission or alleged omission to state a material fact relates to information supplied by the Company or by KBW (it being understood and agreed that such information supplied by KBW only consists of the KBW Information), and the parties’ relative intent, knowledge, access to information and opportunity to correct or prevent such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KBW agree that it would not be just and equitable if contribution pursuant to this SECTION 8 were determined by pro rata allocation or by any other method of allocation which does not take account of the equitable considerations referred to above in this SECTION 8. The aggregate amount of losses, liabilities, claims, damages and expenses incurred by an indemnified party and referred to above in this SECTION 8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SECTION 8, KBW shall not be required to contribute any amount in excess of the underwriting discount received by KBW in connection with the Securities underwritten by it and distributed to the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guilty of fraudulent misrepresentation (within the meaning of Section 11(f) of the Securities Act) shall be entitled to contribution from any person who was not guilty of such fraudulent misrepresentation. KBW’s obligation to contribute pursuant to this SECTION 8 shall be determined by reference to KBW’s underwriting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8, each person, if any, who controls KBW within the meaning of Section 15 of the Securities Act or Section 20 of the Exchange Act and KBW’s Affiliates, officers, directors, partners, managers, employees and agents shall have the same rights to contribution as KBW; and each director of the Company, each officer of the Company who signed the Registration Statement, and each person, if any, who controls the Company within the meaning of Section 15 of the Securities Act or Section 20 of the Exchange Act shall have the same rights to contribution as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Representations, Warranties and Agreements to Survive</w:t>
      </w:r>
      <w:r>
        <w:rPr>
          <w:rFonts w:ascii="Times New Roman;Times;Serif" w:hAnsi="Times New Roman;Times;Serif"/>
          <w:b w:val="false"/>
          <w:i w:val="false"/>
          <w:caps w:val="false"/>
          <w:smallCaps w:val="false"/>
          <w:sz w:val="20"/>
        </w:rPr>
        <w:t>.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KBW or its Affiliates, officers, directors, employees, agents, any person controlling KBW or the Company’s officers or directors or any person controlling the Company and (ii) delivery of and payment for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val="false"/>
          <w:caps w:val="false"/>
          <w:smallCaps w:val="false"/>
          <w:sz w:val="20"/>
          <w:u w:val="single"/>
        </w:rPr>
        <w:t>Termination of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KBW may terminate this Agreement, by notice to the Company, at any time at or prior to the Closing Time, (i) if there has been, in the judgment of KBW, since the time of execution of this Agreement or since the respective dates as of which information is given in the Registration Statement, the Disclosure Package or the Prospectus, any Material Adverse Effect, (ii) if there has occurred any material adverse change in the financial markets in the United States or the international financial markets, any outbreak of hostilities or escalation thereof or other calamity or crisis, including a widespread outbreak of epidemic illnesses, or any change or development involving a prospective change in national or international political, financial or economic conditions, including, without limitation, as a result of terrorist activities, in each case the effect of which is such as to make it, in the judgment of KBW, impracticable or inadvisable to proceed with the completion of the offering of the Securities on the terms and in the manner contemplated in the Registration Statement, the Prospectus and the Disclosure Package, to market the Securities or to enforce contracts for the sale of the Securities, (iii) if trading in any securities of the Company has been suspended or materially limited by the Commission or by the Nasdaq Global Select Market, (iv) if trading generally on the New York Stock Exchange or the Nasdaq Global Select Market has been suspended or materially limited, or minimum or maximum prices for trading have been fixed, or maximum ranges for prices have been required, by any of said exchanges or by order of the Commission, FINRA or any other governmental agency or body, (v) if a material disruption has occurred in commercial banking or securities settlement or clearance services in the United States or with respect to Clearstream or Euroclear systems in Europe, (vi) if there has occurred a downgrading in or withdrawal of the rating assigned to the Securities or any other securities of the Company by any NRSRO, or such organization has publicly announced that it has under surveillance or review, or has changed its outlook with respect to, its rating of the Securities or any other securities of the Company, or (vii) if a banking moratorium has been declared by United States, New York or Virginia authorities.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Liabilities</w:t>
      </w:r>
      <w:r>
        <w:rPr>
          <w:rFonts w:ascii="Times New Roman;Times;Serif" w:hAnsi="Times New Roman;Times;Serif"/>
          <w:b w:val="false"/>
          <w:i w:val="false"/>
          <w:caps w:val="false"/>
          <w:smallCaps w:val="false"/>
          <w:sz w:val="20"/>
        </w:rPr>
        <w:t>. If this Agreement is terminated pursuant to this Section, such termination shall be without liability of any party to any other party except as provided in SECTION 4 hereof, and provided further that SECTION 1, SECTION 4, SECTION 7, SECTION 8, SECTION 9, SECTION 14, SECTION 15, SECTION 16 and SECTION 17 shall survive such termination and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Default by KBW</w:t>
      </w:r>
      <w:r>
        <w:rPr>
          <w:rFonts w:ascii="Times New Roman;Times;Serif" w:hAnsi="Times New Roman;Times;Serif"/>
          <w:b w:val="false"/>
          <w:i w:val="false"/>
          <w:caps w:val="false"/>
          <w:smallCaps w:val="false"/>
          <w:sz w:val="20"/>
        </w:rPr>
        <w:t>. If KBW fails to purchase the Securities at the Closing Time, the Agreement shall terminate without liability on the part of the Company, except that the Company will continue to be liable for the payment of expenses as set forth in SECTION 4 hereof and except that the provisions of SECTION 1, SECTION 4, SECTION 7, SECTION 8, SECTION 9, SECTION 14, SECTION 15, SECTION 16 and SECTION 17 shall not terminate and shall remain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and other communications hereunder shall be in writing and shall be deemed to have been duly given if mailed or transmitted by any standard form of telecommunication. Notices to KBW shall be directed to Keefe, Bruyette &amp; Woods, Inc., 787 Seventh Avenue, 4th Floor, New York, New York 10019, e-mail: </w:t>
      </w:r>
      <w:r>
        <w:rPr>
          <w:rFonts w:ascii="Times New Roman;Times;Serif" w:hAnsi="Times New Roman;Times;Serif"/>
          <w:b w:val="false"/>
          <w:i w:val="false"/>
          <w:caps w:val="false"/>
          <w:smallCaps w:val="false"/>
          <w:sz w:val="20"/>
          <w:u w:val="single"/>
        </w:rPr>
        <w:t>USCapitalMarkets@kbw.com</w:t>
      </w:r>
      <w:r>
        <w:rPr>
          <w:rFonts w:ascii="Times New Roman;Times;Serif" w:hAnsi="Times New Roman;Times;Serif"/>
          <w:b w:val="false"/>
          <w:i w:val="false"/>
          <w:caps w:val="false"/>
          <w:smallCaps w:val="false"/>
          <w:sz w:val="20"/>
        </w:rPr>
        <w:t>, with a copy (which shall not constitute notice) to Skadden, Arps, Slate, Meagher &amp; Flom LLP, One Manhattan West, New York, New York 10001, attention of Michael P. Reed, e-mail: michael.reed@skadden.com; and notices to the Company shall be directed to it at 5680 King Centre Drive, Ste. 801, Alexandria, Virginia 22315, attention of Kirtan Parikh, Executive Vice President and Chief Financial Officer, e-mail: Kparikh@burkeandherbertbank.com, with a copy (which shall not constitute notice) to Troutman Pepper Locke LLP, 401 9th Street, NW, Suite 1000, Washington, DC 20004, attention of Greg Parisi, e-mail: gregory.parisi@troutman.com.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w:t>
      </w:r>
      <w:r>
        <w:rPr>
          <w:rFonts w:ascii="Times New Roman;Times;Serif" w:hAnsi="Times New Roman;Times;Serif"/>
          <w:b w:val="false"/>
          <w:i w:val="false"/>
          <w:caps w:val="false"/>
          <w:smallCaps w:val="false"/>
          <w:sz w:val="20"/>
          <w:u w:val="single"/>
        </w:rPr>
        <w:t>No Advisory or Fiduciary Relationship</w:t>
      </w:r>
      <w:r>
        <w:rPr>
          <w:rFonts w:ascii="Times New Roman;Times;Serif" w:hAnsi="Times New Roman;Times;Serif"/>
          <w:b w:val="false"/>
          <w:i w:val="false"/>
          <w:caps w:val="false"/>
          <w:smallCaps w:val="false"/>
          <w:sz w:val="20"/>
        </w:rPr>
        <w:t>. The Company acknowledges and agrees that (a) the offering or purchase and sale of the Securities pursuant to this Agreement, including the determination of the terms of the Securities and the offering price thereof and any related discounts and commissions, is an arm’s-length commercial transaction between the Company, on the one hand, and KBW, on the other hand, (b) in connection with the offering of the Securities and the process leading thereto, KBW is and has been acting solely as a principal and is not the agent or fiduciary of the Company or any of its subsidiaries or their respective shareholders, creditors, employees or any other party, (c) KBW has not assumed or will not assume an advisory or fiduciary responsibility in favor of the Company or its subsidiaries in connection with the offering of the Securities or the process leading thereto (irrespective of whether KBW has advised or is currently advising the Company or any of its subsidiaries on other matters) or any other obligation to the Company or its subsidiaries in connection with the offering of the Securities except the obligations expressly set forth in this Agreement, (d) KBW and its Affiliates may be engaged in a broad range of transactions that involve interests that differ from those of the Company or its subsidiaries, and (e) KBW has not provided any legal, accounting, financial, regulatory or tax advice in connection with the offering of the Securities and the Company and its subsidiaries have consulted their own respective legal, accounting, financial, regulatory and tax advisors to the extent they deemed appropriate.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This Agreement shall inure to the benefit of and be binding upon KBW, the Company, and their respective successors. Nothing expressed or mentioned in this Agreement is intended or shall be construed to give any person, firm or corporation, other than KBW, the Company, and their respective successors and the controlling persons, Affiliates, partners, managers, employees, agents, officers and directors referred to in SECTION 7 and SECTION 8 and their heirs and legal representatives, any legal or equitable right, remedy or claim under or in respect of this Agreement or any provision herein contained. This Agreement and all conditions and provisions hereof are intended to be for the sole and exclusive benefit of KBW, the Company, and their respective successors, and said controlling persons, Affiliates, employees, agents, officers and directors and their heirs and legal representatives, and for the benefit of no other person, firm or corporation. No purchaser of Securities from KBW shall be deemed to be a successor by reason merely of such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          </w:t>
      </w:r>
      <w:r>
        <w:rPr>
          <w:rFonts w:ascii="Times New Roman;Times;Serif" w:hAnsi="Times New Roman;Times;Serif"/>
          <w:b w:val="false"/>
          <w:i w:val="false"/>
          <w:caps w:val="false"/>
          <w:smallCaps w:val="false"/>
          <w:sz w:val="20"/>
          <w:u w:val="single"/>
        </w:rPr>
        <w:t>Trial by Jury</w:t>
      </w:r>
      <w:r>
        <w:rPr>
          <w:rFonts w:ascii="Times New Roman;Times;Serif" w:hAnsi="Times New Roman;Times;Serif"/>
          <w:b w:val="false"/>
          <w:i w:val="false"/>
          <w:caps w:val="false"/>
          <w:smallCaps w:val="false"/>
          <w:sz w:val="20"/>
        </w:rPr>
        <w:t>. Each of the Company (on its behalf and, to the extent permitted by applicable law, on behalf of its shareholders and affiliates) and KBW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ANY TRANSACTION CONTEMPLATED HEREUNDER, AND ANY CLAIM, CONTROVERSY OR DISPUTE ARISING UNDER OR RELATED TO THIS AGREEMENT SHALL BE GOVERNED BY, AND CONSTRUED IN ACCORDANCE WITH, THE LAWS OF THE STATE OF NEW YORK WITHOUT REGARD TO CONFLICTS OF LAW PRINCIPLES THAT WOULD RESULT IN THE APPLICATION OF ANY LAW OTHER THAN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          </w:t>
      </w:r>
      <w:r>
        <w:rPr>
          <w:rFonts w:ascii="Times New Roman;Times;Serif" w:hAnsi="Times New Roman;Times;Serif"/>
          <w:b w:val="false"/>
          <w:i w:val="false"/>
          <w:caps w:val="false"/>
          <w:smallCaps w:val="false"/>
          <w:sz w:val="20"/>
          <w:u w:val="single"/>
        </w:rPr>
        <w:t>Consent to Jurisdiction</w:t>
      </w:r>
      <w:r>
        <w:rPr>
          <w:rFonts w:ascii="Times New Roman;Times;Serif" w:hAnsi="Times New Roman;Times;Serif"/>
          <w:b w:val="false"/>
          <w:i w:val="false"/>
          <w:caps w:val="false"/>
          <w:smallCaps w:val="false"/>
          <w:sz w:val="20"/>
        </w:rPr>
        <w:t>. Each of the parties hereto agrees that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Times;Serif" w:hAnsi="Times New Roman;Times;Serif"/>
          <w:b/>
          <w:i w:val="false"/>
          <w:caps w:val="false"/>
          <w:smallCaps w:val="false"/>
          <w:sz w:val="20"/>
        </w:rPr>
        <w:t>Specified Courts</w:t>
      </w:r>
      <w:r>
        <w:rPr>
          <w:rFonts w:ascii="Times New Roman;Times;Serif" w:hAnsi="Times New Roman;Times;Serif"/>
          <w:b w:val="false"/>
          <w:i w:val="false"/>
          <w:caps w:val="false"/>
          <w:smallCaps w:val="false"/>
          <w:sz w:val="20"/>
        </w:rPr>
        <w:t>”), and irrevocably submits to the exclusive jurisdiction of, and to venue in (except for proceedings instituted in regard to the enforcement of a judgment of any Specified Court, as to which such jurisdiction is non-exclusive) the Specified Courts in any such suit, action or proceeding. Service of any process, summons, notice or document by mail to such party’s address set forth herein shall be effective service of process for any suit, action or proceeding brought in any Specified Court. Each of the parties hereto irrevocably and unconditionally waives any objection to the laying of venue of any suit, action or proceeding in the Specified Courts and irrevocably and unconditionally waives and agrees not to plead or claim in any Specified Court that any such suit, action or proceeding brought in any Specified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          </w:t>
      </w:r>
      <w:r>
        <w:rPr>
          <w:rFonts w:ascii="Times New Roman;Times;Serif" w:hAnsi="Times New Roman;Times;Serif"/>
          <w:b w:val="false"/>
          <w:i w:val="false"/>
          <w:caps w:val="false"/>
          <w:smallCaps w:val="false"/>
          <w:sz w:val="20"/>
          <w:u w:val="single"/>
        </w:rPr>
        <w:t>TIME</w:t>
      </w:r>
      <w:r>
        <w:rPr>
          <w:rFonts w:ascii="Times New Roman;Times;Serif" w:hAnsi="Times New Roman;Times;Serif"/>
          <w:b w:val="false"/>
          <w:i w:val="false"/>
          <w:caps w:val="false"/>
          <w:smallCaps w:val="false"/>
          <w:sz w:val="20"/>
        </w:rPr>
        <w:t>. TIME SHALL BE OF THE ESSENCE OF THIS AGREEMENT. EXCEPT AS OTHERWISE SET FORTH HEREIN, SPECIFIED TIMES OF DAY REFER TO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shall be deemed to be an original, but all such counterparts shall together constitute one and the same Agreement. The exchange of copies of this Agreement and of signature pages by facsimile or other electronic means shall constitute effective execution and delivery of this Agreement by the parties hereto and may be used in lieu of the original signature pages to this Agreement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headings herein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constitutes the entire Agreement of the parties to this Agreement and supersedes all prior written or oral and all contemporaneous oral agreements, understandings and negotiations with respect to the subject matter hereof. This Agreement may not be amended or modified unless in writing by all of the parties hereto, and no condition herein (express or implied) may be waived unless waived in writing by each party that the condition is meant to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75"/>
        <w:gridCol w:w="545"/>
        <w:gridCol w:w="4025"/>
      </w:tblGrid>
      <w:tr>
        <w:trPr/>
        <w:tc>
          <w:tcPr>
            <w:tcW w:w="75" w:type="dxa"/>
            <w:tcBorders/>
            <w:vAlign w:val="center"/>
          </w:tcPr>
          <w:p>
            <w:pPr>
              <w:pStyle w:val="TableContents"/>
              <w:bidi w:val="0"/>
              <w:spacing w:before="0" w:after="283"/>
              <w:jc w:val="left"/>
              <w:rPr/>
            </w:pPr>
            <w:r>
              <w:rPr/>
              <w:t> </w:t>
            </w:r>
          </w:p>
        </w:tc>
        <w:tc>
          <w:tcPr>
            <w:tcW w:w="457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45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7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BURKE &amp; HERBERT FINANCIAL SERVICES CORP.</w:t>
            </w:r>
          </w:p>
        </w:tc>
      </w:tr>
      <w:tr>
        <w:trPr/>
        <w:tc>
          <w:tcPr>
            <w:tcW w:w="75" w:type="dxa"/>
            <w:tcBorders/>
            <w:vAlign w:val="center"/>
          </w:tcPr>
          <w:p>
            <w:pPr>
              <w:pStyle w:val="TableContents"/>
              <w:bidi w:val="0"/>
              <w:spacing w:before="0" w:after="283"/>
              <w:jc w:val="left"/>
              <w:rPr/>
            </w:pPr>
            <w:r>
              <w:rPr/>
              <w:t> </w:t>
            </w:r>
          </w:p>
        </w:tc>
        <w:tc>
          <w:tcPr>
            <w:tcW w:w="45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Kirtan Parikh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Kirtan Parikh</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Financial Officer</w:t>
            </w:r>
          </w:p>
        </w:tc>
      </w:tr>
      <w:tr>
        <w:trPr/>
        <w:tc>
          <w:tcPr>
            <w:tcW w:w="75" w:type="dxa"/>
            <w:tcBorders/>
            <w:vAlign w:val="center"/>
          </w:tcPr>
          <w:p>
            <w:pPr>
              <w:pStyle w:val="TableContents"/>
              <w:bidi w:val="0"/>
              <w:spacing w:before="0" w:after="283"/>
              <w:jc w:val="left"/>
              <w:rPr/>
            </w:pPr>
            <w:r>
              <w:rPr/>
              <w:t> </w:t>
            </w:r>
          </w:p>
        </w:tc>
        <w:tc>
          <w:tcPr>
            <w:tcW w:w="45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7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CONFIRMED AND ACCEPTED,</w:t>
            </w:r>
          </w:p>
        </w:tc>
      </w:tr>
      <w:tr>
        <w:trPr/>
        <w:tc>
          <w:tcPr>
            <w:tcW w:w="75" w:type="dxa"/>
            <w:tcBorders/>
            <w:vAlign w:val="center"/>
          </w:tcPr>
          <w:p>
            <w:pPr>
              <w:pStyle w:val="TableContents"/>
              <w:bidi w:val="0"/>
              <w:spacing w:before="0" w:after="283"/>
              <w:jc w:val="left"/>
              <w:rPr/>
            </w:pPr>
            <w:r>
              <w:rPr/>
              <w:t> </w:t>
            </w:r>
          </w:p>
        </w:tc>
        <w:tc>
          <w:tcPr>
            <w:tcW w:w="45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7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of the date first above written:</w:t>
            </w:r>
          </w:p>
        </w:tc>
      </w:tr>
      <w:tr>
        <w:trPr/>
        <w:tc>
          <w:tcPr>
            <w:tcW w:w="75" w:type="dxa"/>
            <w:tcBorders/>
            <w:vAlign w:val="center"/>
          </w:tcPr>
          <w:p>
            <w:pPr>
              <w:pStyle w:val="TableContents"/>
              <w:bidi w:val="0"/>
              <w:spacing w:before="0" w:after="283"/>
              <w:jc w:val="left"/>
              <w:rPr/>
            </w:pPr>
            <w:r>
              <w:rPr/>
              <w:t> </w:t>
            </w:r>
          </w:p>
        </w:tc>
        <w:tc>
          <w:tcPr>
            <w:tcW w:w="45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7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KEEFE, BRUYETTE &amp; WOODS, INC.</w:t>
            </w:r>
          </w:p>
        </w:tc>
      </w:tr>
      <w:tr>
        <w:trPr/>
        <w:tc>
          <w:tcPr>
            <w:tcW w:w="75" w:type="dxa"/>
            <w:tcBorders/>
            <w:vAlign w:val="center"/>
          </w:tcPr>
          <w:p>
            <w:pPr>
              <w:pStyle w:val="TableContents"/>
              <w:bidi w:val="0"/>
              <w:spacing w:before="0" w:after="283"/>
              <w:jc w:val="left"/>
              <w:rPr/>
            </w:pPr>
            <w:r>
              <w:rPr/>
              <w:t> </w:t>
            </w:r>
          </w:p>
        </w:tc>
        <w:tc>
          <w:tcPr>
            <w:tcW w:w="45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Adam Tarvin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Adam Tarvin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Issuer Free Writing Prospectuses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Term Sheet for Securities, dated September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4" w:name="tm2625875d4_ex4-1.htm"/>
      <w:bookmarkStart w:id="25" w:name="kstm2625875d4_ex41"/>
      <w:bookmarkEnd w:id="24"/>
      <w:bookmarkEnd w:id="25"/>
      <w:r>
        <w:rPr/>
        <w:t> </w:t>
      </w:r>
      <w:r>
        <w:br w:type="page"/>
      </w:r>
    </w:p>
    <w:p>
      <w:pPr>
        <w:pStyle w:val="TextBody"/>
        <w:bidi w:val="0"/>
        <w:jc w:val="right"/>
        <w:rPr>
          <w:b/>
        </w:rPr>
      </w:pPr>
      <w:r>
        <w:rPr>
          <w:b/>
        </w:rPr>
        <w:t>Exhibit 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BURKE &amp; HERBERT FINANCIAL SERVICES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Trust, National Association,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Dated as of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895"/>
        <w:gridCol w:w="245"/>
      </w:tblGrid>
      <w:tr>
        <w:trPr/>
        <w:tc>
          <w:tcPr>
            <w:tcW w:w="78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ONE  DEFINITIONS AND OTHER PROVISIONS OF GENERAL APPLICATION</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 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 Compliance Certificates and Opinions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103. Form of Documents Delivered to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104. Acts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105. Notices, etc.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106. Notice to Holders; 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107. Effect of Headings; Table of Contents; Counterparts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108. Successors and Assigns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109. Separability Clause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 Benefits of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 No Personal Liability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112. Governing Law</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113. Legal Holidays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114. Force Majeure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115. U.S.A. Patriot 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116. Electronic Signatures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78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TWO  SECURITIES FORMS</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 Forms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 Form of Trustee’s Certificate of Authentication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 Securities Issuable in Global Form</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78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THREE  THE SECURITIES</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 Amount Unlimited; Issuable in Series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 Denominations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 Execution, Authentication, Delivery and Dating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 Temporary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 Registration, Registration of Transfer and Exchange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306. Mutilated, Destroyed, Lost and Stolen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307. Payment of Interest; Interest Rights Preserved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308. Persons Deemed Owners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309. Cancellation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310. Computation of Interest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311. CUSIPs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78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FOUR  SATISFACTION AND DISCHARGE</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25</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 Satisfaction and Discharge of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402. Application of Trust Funds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78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FIVE  REMEDIES</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w:t>
            </w:r>
          </w:p>
        </w:tc>
      </w:tr>
      <w:tr>
        <w:trPr/>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 Events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bl>
    <w:p>
      <w:pPr>
        <w:pStyle w:val="TextBody"/>
        <w:bidi w:val="0"/>
        <w:spacing w:before="0" w:after="283"/>
        <w:jc w:val="left"/>
        <w:rPr/>
      </w:pPr>
      <w:r>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 Acceleration of Maturity; Rescission and Annulment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503. Collection of Indebtedness and Suits for Enforcement by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504. Trustee May File Proofs of Claim</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505. Trustee May Enforce Claims Without Possession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506. Application of Money Collected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507. Limitation on Suits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508. Unconditional Right of Holders to Receive Principal, Premium or Make-Whole Amount, if any, Interest and Additional Amounts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509. Restoration of Rights and Remedies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510. Rights and Remedies Cumulative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511. Delay or Omission Not 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512. Control by Holders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513. Waiver of Past Defaults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514. Waiver of Stay or Extension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 Undertaking for Costs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9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SIX  THE TRUSTEE</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32</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 Notice of Defaults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 Certain Rights and Duties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603. Not Responsible for Recitals or Issuance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604. May Hold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605. Money Held in Trust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606. Compensation and Reimbursement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607. Corporate Trustee Required; Eligibility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608. Resignation and Removal; Appointment of Successor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609. Acceptance of Appointment By Successor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610. Merger, Conversion, Consolidation or Succession to Business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611. Appointment of Authenticating Agent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612. Certain Duties and Responsibilities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613. Conflicting Interests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614. Appointment of Co-Trustee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9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SEVEN  HOLDERS’ LISTS AND REPORTS BY TRUSTEE AND COMPANY</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40</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701. Disclosure of Names and Addresses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702. Reports by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703. Reports by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704. Company to Furnish Trustee Names and Addresses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9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EIGHT  CONSOLIDATION, MERGER, SALE, LEASE OR CONVEYANCE</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42</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801. Consolidations and Mergers of Company and Sales, Leases and Conveyances Permitted Subject to Certain Conditions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802. Rights and Duties of Successor Corporation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803. Officers’ Certificate and Opinion of Counsel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9775" w:type="dxa"/>
        <w:jc w:val="left"/>
        <w:tblInd w:w="0" w:type="dxa"/>
        <w:tblLayout w:type="fixed"/>
        <w:tblCellMar>
          <w:top w:w="0" w:type="dxa"/>
          <w:left w:w="0" w:type="dxa"/>
          <w:bottom w:w="0" w:type="dxa"/>
          <w:right w:w="0" w:type="dxa"/>
        </w:tblCellMar>
      </w:tblPr>
      <w:tblGrid>
        <w:gridCol w:w="9530"/>
        <w:gridCol w:w="245"/>
      </w:tblGrid>
      <w:tr>
        <w:trPr/>
        <w:tc>
          <w:tcPr>
            <w:tcW w:w="95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NINE SUPPLEMENTAL INDENTURES</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42</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 Supplemental Indentures without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 Supplemental Indentures with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903. Execution of Supplemental Indentures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904. Effect of Supplemental Indentures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905. Conformity with Trust Indenture 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906. Reference in Securities to Supplemental Indentures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907. Notice of Supplemental Indentures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908. Subordination Unimpaired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95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TEN  COVENANTS</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45</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1001. Payment of Principal, Premium or Make-Whole Amount, if any, Interest and Additional Amounts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1002. Maintenance of Office or Agency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1003. Money for Securities Payments to Be Held in Trust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1004. Existence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1005. Maintenance of Properties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1006. Payment of Taxes and Other Claims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1007. Statement as to Compliance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1008. Additional Amounts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1009. Waiver of Certain Covenants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95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ELEVEN  REDEMPTION OF SECURITIES</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49</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1101. Applicability of Article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1102. Election to Redeem; Notice to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1103. Selection by Trustee of Securities to Be Redeemed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1104. Notice of 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1105. Deposit of Redemption Price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1106. Securities Payable on Redemption Date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1107. Securities Redeemed in Part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95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TWELVE  SINKING FUNDS</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51</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1201. Applicability of Article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1202. Satisfaction of Sinking Fund Payments with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1203. Redemption of Securities for Sinking Fund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95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THIRTEEN DEFEASANCE AND COVENANT DEFEASANCE</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52</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1301. Applicability of Article; Company’s Option to Effect Defeasance or Covenant Defeasance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1302. Defeasance and Discharge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1303. Covenant Defeasance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1304. Conditions to Defeasance or Covenant Defeasance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9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1305. Deposited Money and Government Obligations to Be Held in Trust; Other Miscellaneous Provisions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95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FOURTEEN MEETINGS OF HOLDERS OF SECURITIES</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55</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7525" w:type="dxa"/>
        <w:jc w:val="left"/>
        <w:tblInd w:w="0" w:type="dxa"/>
        <w:tblLayout w:type="fixed"/>
        <w:tblCellMar>
          <w:top w:w="0" w:type="dxa"/>
          <w:left w:w="0" w:type="dxa"/>
          <w:bottom w:w="0" w:type="dxa"/>
          <w:right w:w="0" w:type="dxa"/>
        </w:tblCellMar>
      </w:tblPr>
      <w:tblGrid>
        <w:gridCol w:w="7280"/>
        <w:gridCol w:w="245"/>
      </w:tblGrid>
      <w:tr>
        <w:trPr/>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1401. Purposes for Which Meetings May Be Called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1402. Call, Notice and Place of Meetings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1403. Persons Entitled to Vote at Meetings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1404. Quorum; Action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1405. Determination of Voting Rights; Conduct and Adjournment of Meetings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1406. Counting Votes and Recording Action of Meetings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1407. Evidence of Action Taken by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1408. Proof of Execution of Instruments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7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FIFTEEN   SUBORDINATION</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58</w:t>
            </w:r>
          </w:p>
        </w:tc>
      </w:tr>
      <w:tr>
        <w:trPr/>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1501. Agreement to Subordinate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1502. Liquidation; Dissolution; Bankruptcy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1503. Default on Senior Debt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1504. Acceleration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1505. When Distribution Must Be Paid Over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1506. Notice by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1507. Subrogation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1508. Relative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1509. Subordination May Not Be Impaired By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1510. Distribution or Notice to Representative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1511. Rights of Trustee and Paying Agent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BURKE &amp; HERBERT FINANCIAL SERVICES CORP.</w:t>
      </w:r>
      <w:r>
        <w:rPr>
          <w:rFonts w:ascii="Times New Roman;Times;Serif" w:hAnsi="Times New Roman;Times;Serif"/>
          <w:b w:val="false"/>
          <w:i w:val="false"/>
          <w:caps w:val="false"/>
          <w:smallCaps w:val="false"/>
          <w:sz w:val="20"/>
        </w:rPr>
        <w:t xml:space="preserve"> 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econciliation and tie between Trust Indenture Act of 1939, as amended (the “TIA”), and Indenture, dated as of September 30, 2026:</w:t>
      </w:r>
    </w:p>
    <w:p>
      <w:pPr>
        <w:pStyle w:val="TextBody"/>
        <w:bidi w:val="0"/>
        <w:spacing w:before="0" w:after="283"/>
        <w:jc w:val="left"/>
        <w:rPr/>
      </w:pPr>
      <w:r>
        <w:rPr/>
        <w:t> </w:t>
      </w:r>
    </w:p>
    <w:tbl>
      <w:tblPr>
        <w:tblW w:w="4225" w:type="dxa"/>
        <w:jc w:val="left"/>
        <w:tblInd w:w="0" w:type="dxa"/>
        <w:tblLayout w:type="fixed"/>
        <w:tblCellMar>
          <w:top w:w="0" w:type="dxa"/>
          <w:left w:w="0" w:type="dxa"/>
          <w:bottom w:w="0" w:type="dxa"/>
          <w:right w:w="0" w:type="dxa"/>
        </w:tblCellMar>
      </w:tblPr>
      <w:tblGrid>
        <w:gridCol w:w="2375"/>
        <w:gridCol w:w="1850"/>
      </w:tblGrid>
      <w:tr>
        <w:trPr/>
        <w:tc>
          <w:tcPr>
            <w:tcW w:w="23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Trust Indenture Act Section</w:t>
            </w:r>
          </w:p>
        </w:tc>
        <w:tc>
          <w:tcPr>
            <w:tcW w:w="1850" w:type="dxa"/>
            <w:tcBorders/>
            <w:vAlign w:val="center"/>
          </w:tcPr>
          <w:p>
            <w:pPr>
              <w:pStyle w:val="TableContents"/>
              <w:bidi w:val="0"/>
              <w:spacing w:before="0" w:after="283"/>
              <w:jc w:val="center"/>
              <w:rPr>
                <w:b/>
              </w:rPr>
            </w:pPr>
            <w:r>
              <w:rPr>
                <w:b/>
              </w:rPr>
              <w:t>Indenture Section</w:t>
            </w:r>
          </w:p>
        </w:tc>
      </w:tr>
      <w:tr>
        <w:trPr/>
        <w:tc>
          <w:tcPr>
            <w:tcW w:w="2375"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pPr>
            <w:r>
              <w:rPr/>
              <w:t> </w:t>
            </w:r>
          </w:p>
        </w:tc>
      </w:tr>
      <w:tr>
        <w:trPr/>
        <w:tc>
          <w:tcPr>
            <w:tcW w:w="2375" w:type="dxa"/>
            <w:tcBorders/>
            <w:vAlign w:val="center"/>
          </w:tcPr>
          <w:p>
            <w:pPr>
              <w:pStyle w:val="TableContents"/>
              <w:bidi w:val="0"/>
              <w:spacing w:before="0" w:after="283"/>
              <w:jc w:val="left"/>
              <w:rPr/>
            </w:pPr>
            <w:r>
              <w:rPr/>
              <w:t>Section 310(a)(1)</w:t>
            </w:r>
          </w:p>
        </w:tc>
        <w:tc>
          <w:tcPr>
            <w:tcW w:w="18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607</w:t>
            </w:r>
          </w:p>
        </w:tc>
      </w:tr>
      <w:tr>
        <w:trPr/>
        <w:tc>
          <w:tcPr>
            <w:tcW w:w="2375" w:type="dxa"/>
            <w:tcBorders/>
            <w:vAlign w:val="center"/>
          </w:tcPr>
          <w:p>
            <w:pPr>
              <w:pStyle w:val="TableContents"/>
              <w:bidi w:val="0"/>
              <w:spacing w:before="0" w:after="283"/>
              <w:jc w:val="left"/>
              <w:rPr/>
            </w:pPr>
            <w:r>
              <w:rPr/>
              <w:t>(a)(2)</w:t>
            </w:r>
          </w:p>
        </w:tc>
        <w:tc>
          <w:tcPr>
            <w:tcW w:w="18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607</w:t>
            </w:r>
          </w:p>
        </w:tc>
      </w:tr>
      <w:tr>
        <w:trPr/>
        <w:tc>
          <w:tcPr>
            <w:tcW w:w="2375" w:type="dxa"/>
            <w:tcBorders/>
            <w:vAlign w:val="center"/>
          </w:tcPr>
          <w:p>
            <w:pPr>
              <w:pStyle w:val="TableContents"/>
              <w:bidi w:val="0"/>
              <w:spacing w:before="0" w:after="283"/>
              <w:jc w:val="left"/>
              <w:rPr/>
            </w:pPr>
            <w:r>
              <w:rPr/>
              <w:t>(b)</w:t>
            </w:r>
          </w:p>
        </w:tc>
        <w:tc>
          <w:tcPr>
            <w:tcW w:w="18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608, 613</w:t>
            </w:r>
          </w:p>
        </w:tc>
      </w:tr>
      <w:tr>
        <w:trPr/>
        <w:tc>
          <w:tcPr>
            <w:tcW w:w="2375"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pPr>
            <w:r>
              <w:rPr/>
              <w:t> </w:t>
            </w:r>
          </w:p>
        </w:tc>
      </w:tr>
      <w:tr>
        <w:trPr/>
        <w:tc>
          <w:tcPr>
            <w:tcW w:w="2375" w:type="dxa"/>
            <w:tcBorders/>
            <w:vAlign w:val="center"/>
          </w:tcPr>
          <w:p>
            <w:pPr>
              <w:pStyle w:val="TableContents"/>
              <w:bidi w:val="0"/>
              <w:spacing w:before="0" w:after="283"/>
              <w:jc w:val="left"/>
              <w:rPr/>
            </w:pPr>
            <w:r>
              <w:rPr/>
              <w:t>Section 312(a)</w:t>
            </w:r>
          </w:p>
        </w:tc>
        <w:tc>
          <w:tcPr>
            <w:tcW w:w="18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704</w:t>
            </w:r>
          </w:p>
        </w:tc>
      </w:tr>
      <w:tr>
        <w:trPr/>
        <w:tc>
          <w:tcPr>
            <w:tcW w:w="2375" w:type="dxa"/>
            <w:tcBorders/>
            <w:vAlign w:val="center"/>
          </w:tcPr>
          <w:p>
            <w:pPr>
              <w:pStyle w:val="TableContents"/>
              <w:bidi w:val="0"/>
              <w:spacing w:before="0" w:after="283"/>
              <w:jc w:val="left"/>
              <w:rPr/>
            </w:pPr>
            <w:r>
              <w:rPr/>
              <w:t>(c)</w:t>
            </w:r>
          </w:p>
        </w:tc>
        <w:tc>
          <w:tcPr>
            <w:tcW w:w="18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701</w:t>
            </w:r>
          </w:p>
        </w:tc>
      </w:tr>
      <w:tr>
        <w:trPr/>
        <w:tc>
          <w:tcPr>
            <w:tcW w:w="2375"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pPr>
            <w:r>
              <w:rPr/>
              <w:t> </w:t>
            </w:r>
          </w:p>
        </w:tc>
      </w:tr>
      <w:tr>
        <w:trPr/>
        <w:tc>
          <w:tcPr>
            <w:tcW w:w="2375" w:type="dxa"/>
            <w:tcBorders/>
            <w:vAlign w:val="center"/>
          </w:tcPr>
          <w:p>
            <w:pPr>
              <w:pStyle w:val="TableContents"/>
              <w:bidi w:val="0"/>
              <w:spacing w:before="0" w:after="283"/>
              <w:jc w:val="left"/>
              <w:rPr/>
            </w:pPr>
            <w:r>
              <w:rPr/>
              <w:t>Section 313(a)</w:t>
            </w:r>
          </w:p>
        </w:tc>
        <w:tc>
          <w:tcPr>
            <w:tcW w:w="18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702</w:t>
            </w:r>
          </w:p>
        </w:tc>
      </w:tr>
      <w:tr>
        <w:trPr/>
        <w:tc>
          <w:tcPr>
            <w:tcW w:w="2375"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pPr>
            <w:r>
              <w:rPr/>
              <w:t> </w:t>
            </w:r>
          </w:p>
        </w:tc>
      </w:tr>
      <w:tr>
        <w:trPr/>
        <w:tc>
          <w:tcPr>
            <w:tcW w:w="2375" w:type="dxa"/>
            <w:tcBorders/>
            <w:vAlign w:val="center"/>
          </w:tcPr>
          <w:p>
            <w:pPr>
              <w:pStyle w:val="TableContents"/>
              <w:bidi w:val="0"/>
              <w:spacing w:before="0" w:after="283"/>
              <w:jc w:val="left"/>
              <w:rPr/>
            </w:pPr>
            <w:r>
              <w:rPr/>
              <w:t>Section 314(a)</w:t>
            </w:r>
          </w:p>
        </w:tc>
        <w:tc>
          <w:tcPr>
            <w:tcW w:w="18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703</w:t>
            </w:r>
          </w:p>
        </w:tc>
      </w:tr>
      <w:tr>
        <w:trPr/>
        <w:tc>
          <w:tcPr>
            <w:tcW w:w="2375"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pPr>
            <w:r>
              <w:rPr/>
              <w:t> </w:t>
            </w:r>
          </w:p>
        </w:tc>
      </w:tr>
      <w:tr>
        <w:trPr/>
        <w:tc>
          <w:tcPr>
            <w:tcW w:w="2375" w:type="dxa"/>
            <w:tcBorders/>
            <w:vAlign w:val="center"/>
          </w:tcPr>
          <w:p>
            <w:pPr>
              <w:pStyle w:val="TableContents"/>
              <w:bidi w:val="0"/>
              <w:spacing w:before="0" w:after="283"/>
              <w:jc w:val="left"/>
              <w:rPr/>
            </w:pPr>
            <w:r>
              <w:rPr/>
              <w:t>(a)(4)</w:t>
            </w:r>
          </w:p>
        </w:tc>
        <w:tc>
          <w:tcPr>
            <w:tcW w:w="18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1007</w:t>
            </w:r>
          </w:p>
        </w:tc>
      </w:tr>
      <w:tr>
        <w:trPr/>
        <w:tc>
          <w:tcPr>
            <w:tcW w:w="2375" w:type="dxa"/>
            <w:tcBorders/>
            <w:vAlign w:val="center"/>
          </w:tcPr>
          <w:p>
            <w:pPr>
              <w:pStyle w:val="TableContents"/>
              <w:bidi w:val="0"/>
              <w:spacing w:before="0" w:after="283"/>
              <w:jc w:val="left"/>
              <w:rPr/>
            </w:pPr>
            <w:r>
              <w:rPr/>
              <w:t>(c)(1)</w:t>
            </w:r>
          </w:p>
        </w:tc>
        <w:tc>
          <w:tcPr>
            <w:tcW w:w="18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r>
      <w:tr>
        <w:trPr/>
        <w:tc>
          <w:tcPr>
            <w:tcW w:w="2375" w:type="dxa"/>
            <w:tcBorders/>
            <w:vAlign w:val="center"/>
          </w:tcPr>
          <w:p>
            <w:pPr>
              <w:pStyle w:val="TableContents"/>
              <w:bidi w:val="0"/>
              <w:spacing w:before="0" w:after="283"/>
              <w:jc w:val="left"/>
              <w:rPr/>
            </w:pPr>
            <w:r>
              <w:rPr/>
              <w:t>(c)(2)</w:t>
            </w:r>
          </w:p>
        </w:tc>
        <w:tc>
          <w:tcPr>
            <w:tcW w:w="18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r>
      <w:tr>
        <w:trPr/>
        <w:tc>
          <w:tcPr>
            <w:tcW w:w="2375" w:type="dxa"/>
            <w:tcBorders/>
            <w:vAlign w:val="center"/>
          </w:tcPr>
          <w:p>
            <w:pPr>
              <w:pStyle w:val="TableContents"/>
              <w:bidi w:val="0"/>
              <w:spacing w:before="0" w:after="283"/>
              <w:jc w:val="left"/>
              <w:rPr/>
            </w:pPr>
            <w:r>
              <w:rPr/>
              <w:t>(e)</w:t>
            </w:r>
          </w:p>
        </w:tc>
        <w:tc>
          <w:tcPr>
            <w:tcW w:w="18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r>
      <w:tr>
        <w:trPr/>
        <w:tc>
          <w:tcPr>
            <w:tcW w:w="2375"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pPr>
            <w:r>
              <w:rPr/>
              <w:t> </w:t>
            </w:r>
          </w:p>
        </w:tc>
      </w:tr>
      <w:tr>
        <w:trPr/>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315(b)</w:t>
            </w:r>
          </w:p>
        </w:tc>
        <w:tc>
          <w:tcPr>
            <w:tcW w:w="18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601, 602</w:t>
            </w:r>
          </w:p>
        </w:tc>
      </w:tr>
      <w:tr>
        <w:trPr/>
        <w:tc>
          <w:tcPr>
            <w:tcW w:w="2375"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pPr>
            <w:r>
              <w:rPr/>
              <w:t> </w:t>
            </w:r>
          </w:p>
        </w:tc>
      </w:tr>
      <w:tr>
        <w:trPr/>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316(a)(last sentence)</w:t>
            </w:r>
          </w:p>
        </w:tc>
        <w:tc>
          <w:tcPr>
            <w:tcW w:w="18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 (“Outstanding”)</w:t>
            </w:r>
          </w:p>
        </w:tc>
      </w:tr>
      <w:tr>
        <w:trPr/>
        <w:tc>
          <w:tcPr>
            <w:tcW w:w="2375" w:type="dxa"/>
            <w:tcBorders/>
            <w:vAlign w:val="center"/>
          </w:tcPr>
          <w:p>
            <w:pPr>
              <w:pStyle w:val="TableContents"/>
              <w:bidi w:val="0"/>
              <w:spacing w:before="0" w:after="283"/>
              <w:jc w:val="left"/>
              <w:rPr/>
            </w:pPr>
            <w:r>
              <w:rPr/>
              <w:t>(a)(1)(A)</w:t>
            </w:r>
          </w:p>
        </w:tc>
        <w:tc>
          <w:tcPr>
            <w:tcW w:w="18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502, 512</w:t>
            </w:r>
          </w:p>
        </w:tc>
      </w:tr>
      <w:tr>
        <w:trPr/>
        <w:tc>
          <w:tcPr>
            <w:tcW w:w="2375" w:type="dxa"/>
            <w:tcBorders/>
            <w:vAlign w:val="center"/>
          </w:tcPr>
          <w:p>
            <w:pPr>
              <w:pStyle w:val="TableContents"/>
              <w:bidi w:val="0"/>
              <w:spacing w:before="0" w:after="283"/>
              <w:jc w:val="left"/>
              <w:rPr/>
            </w:pPr>
            <w:r>
              <w:rPr/>
              <w:t>(a)(1)(B)</w:t>
            </w:r>
          </w:p>
        </w:tc>
        <w:tc>
          <w:tcPr>
            <w:tcW w:w="18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513</w:t>
            </w:r>
          </w:p>
        </w:tc>
      </w:tr>
      <w:tr>
        <w:trPr/>
        <w:tc>
          <w:tcPr>
            <w:tcW w:w="2375" w:type="dxa"/>
            <w:tcBorders/>
            <w:vAlign w:val="center"/>
          </w:tcPr>
          <w:p>
            <w:pPr>
              <w:pStyle w:val="TableContents"/>
              <w:bidi w:val="0"/>
              <w:spacing w:before="0" w:after="283"/>
              <w:jc w:val="left"/>
              <w:rPr/>
            </w:pPr>
            <w:r>
              <w:rPr/>
              <w:t>(b)</w:t>
            </w:r>
          </w:p>
        </w:tc>
        <w:tc>
          <w:tcPr>
            <w:tcW w:w="18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508</w:t>
            </w:r>
          </w:p>
        </w:tc>
      </w:tr>
      <w:tr>
        <w:trPr/>
        <w:tc>
          <w:tcPr>
            <w:tcW w:w="2375"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pPr>
            <w:r>
              <w:rPr/>
              <w:t> </w:t>
            </w:r>
          </w:p>
        </w:tc>
      </w:tr>
      <w:tr>
        <w:trPr/>
        <w:tc>
          <w:tcPr>
            <w:tcW w:w="2375" w:type="dxa"/>
            <w:tcBorders/>
            <w:vAlign w:val="center"/>
          </w:tcPr>
          <w:p>
            <w:pPr>
              <w:pStyle w:val="TableContents"/>
              <w:bidi w:val="0"/>
              <w:spacing w:before="0" w:after="283"/>
              <w:jc w:val="left"/>
              <w:rPr/>
            </w:pPr>
            <w:r>
              <w:rPr/>
              <w:t>Section 317(a)(1)</w:t>
            </w:r>
          </w:p>
        </w:tc>
        <w:tc>
          <w:tcPr>
            <w:tcW w:w="18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503</w:t>
            </w:r>
          </w:p>
        </w:tc>
      </w:tr>
      <w:tr>
        <w:trPr/>
        <w:tc>
          <w:tcPr>
            <w:tcW w:w="2375" w:type="dxa"/>
            <w:tcBorders/>
            <w:vAlign w:val="center"/>
          </w:tcPr>
          <w:p>
            <w:pPr>
              <w:pStyle w:val="TableContents"/>
              <w:bidi w:val="0"/>
              <w:spacing w:before="0" w:after="283"/>
              <w:jc w:val="left"/>
              <w:rPr/>
            </w:pPr>
            <w:r>
              <w:rPr/>
              <w:t>(a)(2)</w:t>
            </w:r>
          </w:p>
        </w:tc>
        <w:tc>
          <w:tcPr>
            <w:tcW w:w="18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504</w:t>
            </w:r>
          </w:p>
        </w:tc>
      </w:tr>
      <w:tr>
        <w:trPr/>
        <w:tc>
          <w:tcPr>
            <w:tcW w:w="2375"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pPr>
            <w:r>
              <w:rPr/>
              <w:t> </w:t>
            </w:r>
          </w:p>
        </w:tc>
      </w:tr>
      <w:tr>
        <w:trPr/>
        <w:tc>
          <w:tcPr>
            <w:tcW w:w="2375" w:type="dxa"/>
            <w:tcBorders/>
            <w:vAlign w:val="center"/>
          </w:tcPr>
          <w:p>
            <w:pPr>
              <w:pStyle w:val="TableContents"/>
              <w:bidi w:val="0"/>
              <w:spacing w:before="0" w:after="283"/>
              <w:jc w:val="left"/>
              <w:rPr/>
            </w:pPr>
            <w:r>
              <w:rPr/>
              <w:t>Section 318(a)</w:t>
            </w:r>
          </w:p>
        </w:tc>
        <w:tc>
          <w:tcPr>
            <w:tcW w:w="18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112</w:t>
            </w:r>
          </w:p>
        </w:tc>
      </w:tr>
      <w:tr>
        <w:trPr/>
        <w:tc>
          <w:tcPr>
            <w:tcW w:w="2375" w:type="dxa"/>
            <w:tcBorders/>
            <w:vAlign w:val="center"/>
          </w:tcPr>
          <w:p>
            <w:pPr>
              <w:pStyle w:val="TableContents"/>
              <w:bidi w:val="0"/>
              <w:spacing w:before="0" w:after="283"/>
              <w:jc w:val="left"/>
              <w:rPr/>
            </w:pPr>
            <w:r>
              <w:rPr/>
              <w:t>(c)</w:t>
            </w:r>
          </w:p>
        </w:tc>
        <w:tc>
          <w:tcPr>
            <w:tcW w:w="18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This reconciliation and tie shall not, for any purpose, be deemed to be a part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should also be directed to Section 318(c) of the TIA, which provides that the provisions of Sections 310 to and including 317 of the TIA are a part of and govern every qualified indenture, whether or not physically contained therein.</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v</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September 30, 2026, between BURKE &amp; HERBERT FINANCIAL SERVICES CORP., a Virginia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having its principal office at 100 S. Fairfax Street, Alexandria, Virginia 22314 and Wilmington Trust, National Association, a national banking association organized under the laws of the United States, as Trustee hereunder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deems it necessary to issue from time to time for its lawful purposes subordinated debt securities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evidencing its unsecured and subordinated indebtedness, and has duly authorized the execution and delivery of this Indenture to provide for the issuance from time to time of the Securities, unlimited as to aggregate principal amount, to bear interest at the rates or formulas, to mature at such times and to have such other provisions as shall be fixed therefor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things necessary to make this Indenture a valid agreement of the Company, in accordance with its terms,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 THEREFORE, THIS INDENTURE 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in consideration of the premises and the purchase of the Securities by the Holders thereof, it is mutually covenanted and agreed, for the equal and proportionate benefit of all Holders of the Securities,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ONE</w:t>
        <w:br/>
        <w:t>DEFINITIONS AND OTHER PROVISIONS OF GENERAL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101.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of this Indenture, except as otherwise expressly provided or the context otherwise requires: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(i)</w:t>
            </w:r>
          </w:p>
        </w:tc>
        <w:tc>
          <w:tcPr>
            <w:tcW w:w="9953" w:type="dxa"/>
            <w:tcBorders/>
            <w:vAlign w:val="center"/>
          </w:tcPr>
          <w:p>
            <w:pPr>
              <w:pStyle w:val="TableContents"/>
              <w:bidi w:val="0"/>
              <w:spacing w:before="0" w:after="283"/>
              <w:jc w:val="both"/>
              <w:rPr/>
            </w:pPr>
            <w:r>
              <w:rPr/>
              <w:t>the terms defined in this Article have the meanings assigned to them in this Article, and include the plural as well as the singular;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(ii)</w:t>
            </w:r>
          </w:p>
        </w:tc>
        <w:tc>
          <w:tcPr>
            <w:tcW w:w="9932" w:type="dxa"/>
            <w:tcBorders/>
            <w:vAlign w:val="center"/>
          </w:tcPr>
          <w:p>
            <w:pPr>
              <w:pStyle w:val="TableContents"/>
              <w:bidi w:val="0"/>
              <w:spacing w:before="0" w:after="283"/>
              <w:jc w:val="both"/>
              <w:rPr/>
            </w:pPr>
            <w:r>
              <w:rPr/>
              <w:t>all other terms used herein that are defined in the TIA, either directly or by reference therein, have the meanings assigned to them therein, and the terms “cash transaction” and “self-liquidating paper,” as used in TIA Section 311, shall have the meanings assigned to them in the rules of the Commission adopted under the TIA;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9"/>
        <w:gridCol w:w="9849"/>
      </w:tblGrid>
      <w:tr>
        <w:trPr/>
        <w:tc>
          <w:tcPr>
            <w:tcW w:w="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(iii)</w:t>
            </w:r>
          </w:p>
        </w:tc>
        <w:tc>
          <w:tcPr>
            <w:tcW w:w="9849" w:type="dxa"/>
            <w:tcBorders/>
            <w:vAlign w:val="center"/>
          </w:tcPr>
          <w:p>
            <w:pPr>
              <w:pStyle w:val="TableContents"/>
              <w:bidi w:val="0"/>
              <w:spacing w:before="0" w:after="283"/>
              <w:jc w:val="both"/>
              <w:rPr/>
            </w:pPr>
            <w:r>
              <w:rPr/>
              <w:t>all accounting terms not otherwise defined herein have the meanings assigned to them in accordance with accounting principles generally accepted in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7"/>
        <w:gridCol w:w="9851"/>
      </w:tblGrid>
      <w:tr>
        <w:trPr/>
        <w:tc>
          <w:tcPr>
            <w:tcW w:w="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(iv)</w:t>
            </w:r>
          </w:p>
        </w:tc>
        <w:tc>
          <w:tcPr>
            <w:tcW w:w="9851" w:type="dxa"/>
            <w:tcBorders/>
            <w:vAlign w:val="center"/>
          </w:tcPr>
          <w:p>
            <w:pPr>
              <w:pStyle w:val="TableContents"/>
              <w:bidi w:val="0"/>
              <w:spacing w:before="0" w:after="283"/>
              <w:jc w:val="both"/>
              <w:rPr/>
            </w:pPr>
            <w:r>
              <w:rPr/>
              <w:t>the words “herein,” “hereof” and “hereunder” and other words of similar import refer to this Indenture as a whole and not to any particular Article, Section or other subdivision;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694"/>
        <w:gridCol w:w="9404"/>
      </w:tblGrid>
      <w:tr>
        <w:trPr/>
        <w:tc>
          <w:tcPr>
            <w:tcW w:w="10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20"/>
              </w:rPr>
            </w:pPr>
            <w:r>
              <w:rPr>
                <w:sz w:val="20"/>
              </w:rPr>
              <w:t>(v)</w:t>
            </w:r>
          </w:p>
        </w:tc>
        <w:tc>
          <w:tcPr>
            <w:tcW w:w="9404" w:type="dxa"/>
            <w:tcBorders/>
            <w:vAlign w:val="center"/>
          </w:tcPr>
          <w:p>
            <w:pPr>
              <w:pStyle w:val="TableContents"/>
              <w:bidi w:val="0"/>
              <w:spacing w:before="0" w:after="283"/>
              <w:jc w:val="both"/>
              <w:rPr/>
            </w:pPr>
            <w:r>
              <w:rPr/>
              <w:t>the word “or” is not exclusive;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521"/>
        <w:gridCol w:w="9620"/>
      </w:tblGrid>
      <w:tr>
        <w:trPr/>
        <w:tc>
          <w:tcPr>
            <w:tcW w:w="6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20"/>
              </w:rPr>
            </w:pPr>
            <w:r>
              <w:rPr>
                <w:sz w:val="20"/>
              </w:rPr>
              <w:t>(vi)</w:t>
            </w:r>
          </w:p>
        </w:tc>
        <w:tc>
          <w:tcPr>
            <w:tcW w:w="9620" w:type="dxa"/>
            <w:tcBorders/>
            <w:vAlign w:val="center"/>
          </w:tcPr>
          <w:p>
            <w:pPr>
              <w:pStyle w:val="TableContents"/>
              <w:bidi w:val="0"/>
              <w:spacing w:before="0" w:after="283"/>
              <w:jc w:val="both"/>
              <w:rPr/>
            </w:pPr>
            <w:r>
              <w:rPr/>
              <w:t>the word “including” means “including without limitation.”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terms, used principally in Article Three, Article Five, Article Six and Article Ten, are defined in those Articles. In addition, the following terms shall have the indicated respective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has the meaning specified in Section 104.</w:t>
      </w:r>
    </w:p>
    <w:p>
      <w:pPr>
        <w:pStyle w:val="TextBody"/>
        <w:bidi w:val="0"/>
        <w:spacing w:before="0" w:after="0"/>
        <w:ind w:left="0" w:right="0" w:hanging="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Amounts</w:t>
      </w:r>
      <w:r>
        <w:rPr>
          <w:rFonts w:ascii="Times New Roman;Times;Serif" w:hAnsi="Times New Roman;Times;Serif"/>
          <w:b w:val="false"/>
          <w:i w:val="false"/>
          <w:caps w:val="false"/>
          <w:smallCaps w:val="false"/>
          <w:sz w:val="20"/>
        </w:rPr>
        <w:t>” means any additional amounts that are required by a Security, under circumstances specified therein, to be paid by the Company in respect of certain taxes imposed on certain Holders and that are owing to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Procedures</w:t>
      </w:r>
      <w:r>
        <w:rPr>
          <w:rFonts w:ascii="Times New Roman;Times;Serif" w:hAnsi="Times New Roman;Times;Serif"/>
          <w:b w:val="false"/>
          <w:i w:val="false"/>
          <w:caps w:val="false"/>
          <w:smallCaps w:val="false"/>
          <w:sz w:val="20"/>
        </w:rPr>
        <w:t>” means, with respect to any transfer or transaction involving a global Security or beneficial interest therein, the rules and procedures of DTC for such global Security, Euroclear or Clearstream, in each case to the extent applicable to such transaction and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Authenticating Agent</w:t>
      </w:r>
      <w:r>
        <w:rPr>
          <w:rFonts w:ascii="Times New Roman;Times;Serif" w:hAnsi="Times New Roman;Times;Serif"/>
          <w:b w:val="false"/>
          <w:i w:val="false"/>
          <w:caps w:val="false"/>
          <w:smallCaps w:val="false"/>
          <w:sz w:val="20"/>
        </w:rPr>
        <w:t>” means any authenticating agent appointed by the Trustee pursuant to Section 611.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Law</w:t>
      </w:r>
      <w:r>
        <w:rPr>
          <w:rFonts w:ascii="Times New Roman;Times;Serif" w:hAnsi="Times New Roman;Times;Serif"/>
          <w:b w:val="false"/>
          <w:i w:val="false"/>
          <w:caps w:val="false"/>
          <w:smallCaps w:val="false"/>
          <w:sz w:val="20"/>
        </w:rPr>
        <w:t>” has the meaning specified in Section 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either (i) the Board of Directors of the Company, the executive committee or any other committee or director of that board duly authorized to act for it in respect hereof, or (ii) one or more duly authorized officers of the Company to whom the Board of Directors of the Company or a committee thereof has delegated the authority to act with respect to the matters contemplated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Resolution</w:t>
      </w:r>
      <w:r>
        <w:rPr>
          <w:rFonts w:ascii="Times New Roman;Times;Serif" w:hAnsi="Times New Roman;Times;Serif"/>
          <w:b w:val="false"/>
          <w:i w:val="false"/>
          <w:caps w:val="false"/>
          <w:smallCaps w:val="false"/>
          <w:sz w:val="20"/>
        </w:rPr>
        <w:t>” means (i) a copy of a resolution certified by the Secretary or an Assistant Secretary of the Company to have been duly adopted by the Board of Directors or a committee thereof, and to be in full force and effect on the date of such certification, and delivered to the Trustee or (ii) a certificate signed by the authorized officer or officers of the Company to whom the Board of Directors of the Company or a committee thereof has delegated its authority (as described in the definition of Board of Directors), and in each case,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when used with respect to any Place of Payment or any other particular location referred to in this Indenture or in the Securities, means, unless otherwise specified with respect to any Securities pursuant to Section 301, any day, other than a Saturday or Sunday, that is neither a legal holiday nor a day on which the Trustee or banking institutions in the Place of Payment or particular location are authorized or required by law, regulation or executive order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Clearstream</w:t>
      </w:r>
      <w:r>
        <w:rPr>
          <w:rFonts w:ascii="Times New Roman;Times;Serif" w:hAnsi="Times New Roman;Times;Serif"/>
          <w:b w:val="false"/>
          <w:i w:val="false"/>
          <w:caps w:val="false"/>
          <w:smallCaps w:val="false"/>
          <w:sz w:val="20"/>
        </w:rPr>
        <w:t>” means Clearstream Banking, société anonyme, Luxembourg.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Securities and Exchange Commission, as from time to time constituted, created under the Exchange Act, or, if at any time after execution of this instrument such Commission is not existing and performing the duties now assigned to it under the TIA, then the body performing such duties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Depository</w:t>
      </w:r>
      <w:r>
        <w:rPr>
          <w:rFonts w:ascii="Times New Roman;Times;Serif" w:hAnsi="Times New Roman;Times;Serif"/>
          <w:b w:val="false"/>
          <w:i w:val="false"/>
          <w:caps w:val="false"/>
          <w:smallCaps w:val="false"/>
          <w:sz w:val="20"/>
        </w:rPr>
        <w:t>” has the meaning specified in Section 304(b).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the Person named as the “Company” in the first paragraph of this Indenture until a successor corporation shall have become such pursuant to the applicable provisions of this Indenture, and thereafter “Company” shall mean such successor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Request</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Company Order</w:t>
      </w:r>
      <w:r>
        <w:rPr>
          <w:rFonts w:ascii="Times New Roman;Times;Serif" w:hAnsi="Times New Roman;Times;Serif"/>
          <w:b w:val="false"/>
          <w:i w:val="false"/>
          <w:caps w:val="false"/>
          <w:smallCaps w:val="false"/>
          <w:sz w:val="20"/>
        </w:rPr>
        <w:t>” mean, respectively, a written request or order signed in the name of the Company by an Officer of the Company (or any Person designated in writing by an Officer of the Company as authorized to execute and deliver Company Requests and Company Orders)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Event</w:t>
      </w:r>
      <w:r>
        <w:rPr>
          <w:rFonts w:ascii="Times New Roman;Times;Serif" w:hAnsi="Times New Roman;Times;Serif"/>
          <w:b w:val="false"/>
          <w:i w:val="false"/>
          <w:caps w:val="false"/>
          <w:smallCaps w:val="false"/>
          <w:sz w:val="20"/>
        </w:rPr>
        <w:t>” means the cessation of use of (i) a Foreign Currency (other than as otherwise provided with respect to a Security pursuant to Section 301) as provided by the government of the country that issued such currency and for the settlement of transactions by a central bank or other public institutions of or within the international banking community, or (ii) the ECU, both within the European Monetary System and for the settlement of transactions by public institutions of or within the European Community, or (iii) any currency unit (or composite currency) for the purposes for which it was established.</w:t>
      </w:r>
    </w:p>
    <w:p>
      <w:pPr>
        <w:pStyle w:val="TextBody"/>
        <w:bidi w:val="0"/>
        <w:spacing w:before="0" w:after="0"/>
        <w:ind w:left="0" w:right="0" w:hanging="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means the principal corporate trust office of the Trustee at which, at any particular time, its principal corporate trust business relating to this Indenture shall be principally administered, which office at the date hereof is located at Wilmington Trust, National Association, Institutional Services, 1100 North Market Street, Wilmington, Delaware 19890, Attention: Burke &amp; Herbert Financial Services Corp. Administrator,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Custodian</w:t>
      </w:r>
      <w:r>
        <w:rPr>
          <w:rFonts w:ascii="Times New Roman;Times;Serif" w:hAnsi="Times New Roman;Times;Serif"/>
          <w:b w:val="false"/>
          <w:i w:val="false"/>
          <w:caps w:val="false"/>
          <w:smallCaps w:val="false"/>
          <w:sz w:val="20"/>
        </w:rPr>
        <w:t>” has the meaning specified in Section 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w:t>
      </w:r>
      <w:r>
        <w:rPr>
          <w:rFonts w:ascii="Times New Roman;Times;Serif" w:hAnsi="Times New Roman;Times;Serif"/>
          <w:b w:val="false"/>
          <w:i w:val="false"/>
          <w:caps w:val="false"/>
          <w:smallCaps w:val="false"/>
          <w:sz w:val="20"/>
        </w:rPr>
        <w:t>” means the principal, premium, if any, unpaid interest (including interest accruing on or after the filing of any petition in bankruptcy or for reorganization relating to the Company whether or not a claim for post-filing interest is allowed in such proceeding), fees, charges, expenses, reimbursement and indemnification obligations, and all other amounts payable under or in respect of the following indebtedness of the Company for money borrowed, whether any such indebtedness exists as of the date of the Indenture or is created, incurred, assumed or guaranteed after such date: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20"/>
              </w:rPr>
            </w:pPr>
            <w:r>
              <w:rPr>
                <w:sz w:val="20"/>
              </w:rPr>
              <w:t>(i)</w:t>
            </w:r>
          </w:p>
        </w:tc>
        <w:tc>
          <w:tcPr>
            <w:tcW w:w="10020" w:type="dxa"/>
            <w:tcBorders/>
            <w:vAlign w:val="center"/>
          </w:tcPr>
          <w:p>
            <w:pPr>
              <w:pStyle w:val="TableContents"/>
              <w:bidi w:val="0"/>
              <w:spacing w:before="0" w:after="283"/>
              <w:jc w:val="both"/>
              <w:rPr/>
            </w:pPr>
            <w:r>
              <w:rPr/>
              <w:t>any debt (a) for money borrowed, (b) evidenced by a bond, note, debenture, or similar instrument (including purchase money obligations) given in connection with the acquisition of any business, property or assets, whether by purchase, merger, consolidation or otherwise, but shall not include any account payable or other obligation created or assumed in the ordinary course of business in connection with the obtaining of materials or services, or (c) that is a direct or indirect obligation that arises as a result of banker’s acceptances or bank letters of credit issued to secure obligations of the Company, or to secure the payment of revenue bonds issued for the benefit of the Company, whether contingent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20"/>
              </w:rPr>
            </w:pPr>
            <w:r>
              <w:rPr>
                <w:sz w:val="20"/>
              </w:rPr>
              <w:t>(ii)</w:t>
            </w:r>
          </w:p>
        </w:tc>
        <w:tc>
          <w:tcPr>
            <w:tcW w:w="9918" w:type="dxa"/>
            <w:tcBorders/>
            <w:vAlign w:val="center"/>
          </w:tcPr>
          <w:p>
            <w:pPr>
              <w:pStyle w:val="TableContents"/>
              <w:bidi w:val="0"/>
              <w:spacing w:before="0" w:after="283"/>
              <w:jc w:val="both"/>
              <w:rPr/>
            </w:pPr>
            <w:r>
              <w:rPr/>
              <w:t>any debt of others described in the preceding clause (i) that the Company has guaranteed or for which it is otherwise liable;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2"/>
        <w:gridCol w:w="9866"/>
      </w:tblGrid>
      <w:tr>
        <w:trPr/>
        <w:tc>
          <w:tcPr>
            <w:tcW w:w="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20"/>
              </w:rPr>
            </w:pPr>
            <w:r>
              <w:rPr>
                <w:sz w:val="20"/>
              </w:rPr>
              <w:t>(iii)</w:t>
            </w:r>
          </w:p>
        </w:tc>
        <w:tc>
          <w:tcPr>
            <w:tcW w:w="9866" w:type="dxa"/>
            <w:tcBorders/>
            <w:vAlign w:val="center"/>
          </w:tcPr>
          <w:p>
            <w:pPr>
              <w:pStyle w:val="TableContents"/>
              <w:bidi w:val="0"/>
              <w:spacing w:before="0" w:after="283"/>
              <w:jc w:val="both"/>
              <w:rPr/>
            </w:pPr>
            <w:r>
              <w:rPr/>
              <w:t>the obligation of the Company, as lessee under any lease of property that is reflected on the Company’s balance sheet as a capitalized lease;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20"/>
              </w:rPr>
            </w:pPr>
            <w:r>
              <w:rPr>
                <w:sz w:val="20"/>
              </w:rPr>
              <w:t>(iv)</w:t>
            </w:r>
          </w:p>
        </w:tc>
        <w:tc>
          <w:tcPr>
            <w:tcW w:w="9915" w:type="dxa"/>
            <w:tcBorders/>
            <w:vAlign w:val="center"/>
          </w:tcPr>
          <w:p>
            <w:pPr>
              <w:pStyle w:val="TableContents"/>
              <w:bidi w:val="0"/>
              <w:spacing w:before="0" w:after="283"/>
              <w:jc w:val="both"/>
              <w:rPr/>
            </w:pPr>
            <w:r>
              <w:rPr/>
              <w:t xml:space="preserve">any deferral, amendment, renewal, extension, supplement or refunding of any liability of the kind described in any of the preceding clauses (i), (ii), and (iii); </w:t>
            </w:r>
            <w:r>
              <w:rPr>
                <w:i/>
              </w:rPr>
              <w:t>provided</w:t>
            </w:r>
            <w:r>
              <w:rPr/>
              <w:t xml:space="preserve">, </w:t>
            </w:r>
            <w:r>
              <w:rPr>
                <w:i/>
              </w:rPr>
              <w:t>however</w:t>
            </w:r>
            <w:r>
              <w:rPr/>
              <w:t>, that, in computing indebtedness of the Company, there shall be excluded any particular indebtedness if, upon or prior to the maturity thereof, there shall have been deposited with a depository in trust money (or evidence of indebtedness if permitted by the instrument creating such indebtedness) in the necessary amount to pay, redeem or satisfy such indebtedness as it becomes due, and the amount so deposited shall not be included in any computation of the assets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Defaulted Interest</w:t>
      </w:r>
      <w:r>
        <w:rPr>
          <w:rFonts w:ascii="Times New Roman;Times;Serif" w:hAnsi="Times New Roman;Times;Serif"/>
          <w:b w:val="false"/>
          <w:i w:val="false"/>
          <w:caps w:val="false"/>
          <w:smallCaps w:val="false"/>
          <w:sz w:val="20"/>
        </w:rPr>
        <w:t>” has the meaning specified in Section 307.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means a dollar or other equivalent unit in such coin or currency of the United States of America as at the time shall be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means The Depository Trust Company, its nominees and their respective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Euroclear</w:t>
      </w:r>
      <w:r>
        <w:rPr>
          <w:rFonts w:ascii="Times New Roman;Times;Serif" w:hAnsi="Times New Roman;Times;Serif"/>
          <w:b w:val="false"/>
          <w:i w:val="false"/>
          <w:caps w:val="false"/>
          <w:smallCaps w:val="false"/>
          <w:sz w:val="20"/>
        </w:rPr>
        <w:t>” means Euroclear Bank or its successor as operator of the Euroclear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has the meaning specified in Section 501.</w:t>
      </w:r>
    </w:p>
    <w:p>
      <w:pPr>
        <w:pStyle w:val="TextBody"/>
        <w:bidi w:val="0"/>
        <w:spacing w:before="0" w:after="0"/>
        <w:ind w:left="0" w:right="0" w:hanging="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Currency</w:t>
      </w:r>
      <w:r>
        <w:rPr>
          <w:rFonts w:ascii="Times New Roman;Times;Serif" w:hAnsi="Times New Roman;Times;Serif"/>
          <w:b w:val="false"/>
          <w:i w:val="false"/>
          <w:caps w:val="false"/>
          <w:smallCaps w:val="false"/>
          <w:sz w:val="20"/>
        </w:rPr>
        <w:t>” means any currency, currency unit or composite currency issued by the government of one or more countries other than the United States of America or by any recognized confederation or association of such governments.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as used in the United States applied on a consistent basis as in effect from time to time; provided that solely for purposes of any calculation required by the financial covenants contained herein, “GAAP” shall mean generally accepted accounting principles as used in the United States on the date hereof, applied on a consistent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 Obligations</w:t>
      </w:r>
      <w:r>
        <w:rPr>
          <w:rFonts w:ascii="Times New Roman;Times;Serif" w:hAnsi="Times New Roman;Times;Serif"/>
          <w:b w:val="false"/>
          <w:i w:val="false"/>
          <w:caps w:val="false"/>
          <w:smallCaps w:val="false"/>
          <w:sz w:val="20"/>
        </w:rPr>
        <w:t>” means, with respect to any Securities, unless otherwise specified herein or therein: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(i)</w:t>
            </w:r>
          </w:p>
        </w:tc>
        <w:tc>
          <w:tcPr>
            <w:tcW w:w="9980" w:type="dxa"/>
            <w:tcBorders/>
            <w:vAlign w:val="center"/>
          </w:tcPr>
          <w:p>
            <w:pPr>
              <w:pStyle w:val="TableContents"/>
              <w:bidi w:val="0"/>
              <w:spacing w:before="0" w:after="283"/>
              <w:jc w:val="both"/>
              <w:rPr/>
            </w:pPr>
            <w:r>
              <w:rPr/>
              <w:t>direct obligations of the United States of America or the government that issued the Foreign Currency in which the Securities of a particular series are payable, for the payment of which its full faith and credit is pledged;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(ii)</w:t>
            </w:r>
          </w:p>
        </w:tc>
        <w:tc>
          <w:tcPr>
            <w:tcW w:w="9939" w:type="dxa"/>
            <w:tcBorders/>
            <w:vAlign w:val="center"/>
          </w:tcPr>
          <w:p>
            <w:pPr>
              <w:pStyle w:val="TableContents"/>
              <w:bidi w:val="0"/>
              <w:spacing w:before="0" w:after="283"/>
              <w:jc w:val="both"/>
              <w:rPr/>
            </w:pPr>
            <w:r>
              <w:rPr/>
              <w:t>obligations of a Person controlled or supervised by and acting as an agency or instrumentality of the United States of America or such government that issued the Foreign Currency in which the Securities of such series are payable, the payment of which is unconditionally guaranteed as a full faith and credit obligation by the United States of America or such other government, which, in either case, are not callable or redeemable at the option of the issuer thereof;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(iii)</w:t>
            </w:r>
          </w:p>
        </w:tc>
        <w:tc>
          <w:tcPr>
            <w:tcW w:w="9883" w:type="dxa"/>
            <w:tcBorders/>
            <w:vAlign w:val="center"/>
          </w:tcPr>
          <w:p>
            <w:pPr>
              <w:pStyle w:val="TableContents"/>
              <w:bidi w:val="0"/>
              <w:spacing w:before="0" w:after="283"/>
              <w:jc w:val="both"/>
              <w:rPr/>
            </w:pPr>
            <w:r>
              <w:rPr/>
              <w:t>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means, in the case of a Registered Security, the Person in whose name a Security is registered in the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xml:space="preserv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that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Indexed Security</w:t>
      </w:r>
      <w:r>
        <w:rPr>
          <w:rFonts w:ascii="Times New Roman;Times;Serif" w:hAnsi="Times New Roman;Times;Serif"/>
          <w:b w:val="false"/>
          <w:i w:val="false"/>
          <w:caps w:val="false"/>
          <w:smallCaps w:val="false"/>
          <w:sz w:val="20"/>
        </w:rPr>
        <w:t>” means a Security the terms of which provide that the principal amount thereof payable at Stated Maturity may be more or less than the principal face amount thereof at original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means, when used with respect to an Original Issue Discount Security that by its terms bears interest only after Maturity, interest payable after Maturity, and, when used with respect to a Security that provides for the payment of Additional Amounts pursuant to Section 1008, includes such Additional Amounts.</w:t>
      </w:r>
    </w:p>
    <w:p>
      <w:pPr>
        <w:pStyle w:val="TextBody"/>
        <w:bidi w:val="0"/>
        <w:spacing w:before="0" w:after="0"/>
        <w:ind w:left="0" w:right="0" w:hanging="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means, when used with respect to any Security, the Stated Maturity of an installment of interest on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Make-Whole Amount</w:t>
      </w:r>
      <w:r>
        <w:rPr>
          <w:rFonts w:ascii="Times New Roman;Times;Serif" w:hAnsi="Times New Roman;Times;Serif"/>
          <w:b w:val="false"/>
          <w:i w:val="false"/>
          <w:caps w:val="false"/>
          <w:smallCaps w:val="false"/>
          <w:sz w:val="20"/>
        </w:rPr>
        <w:t>” means the amount, if any, in addition to principal that is required by a Security, under the terms and conditions specified therein or as otherwise specified as contemplated by Section 301, to be paid by the Company to the Holder thereof in connection with any optional redemption or accelerated payment of such Security, as determined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w:t>
      </w:r>
      <w:r>
        <w:rPr>
          <w:rFonts w:ascii="Times New Roman;Times;Serif" w:hAnsi="Times New Roman;Times;Serif"/>
          <w:b w:val="false"/>
          <w:i w:val="false"/>
          <w:caps w:val="false"/>
          <w:smallCaps w:val="false"/>
          <w:sz w:val="20"/>
        </w:rPr>
        <w:t>” means, when used with respect to any Security, the date on which the principal of such Security or an installment of principal becomes due and payable as therein or herein provided, whether at the Stated Maturity or by declaration of acceleration, notice of redemption, notice of option to elect repayment, repurchase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w:t>
      </w:r>
      <w:r>
        <w:rPr>
          <w:rFonts w:ascii="Times New Roman;Times;Serif" w:hAnsi="Times New Roman;Times;Serif"/>
          <w:b w:val="false"/>
          <w:i w:val="false"/>
          <w:caps w:val="false"/>
          <w:smallCaps w:val="false"/>
          <w:sz w:val="20"/>
        </w:rPr>
        <w:t>” means the Chief Executive Officer, the President, the Chief Financial Officer, the Corporate Treasurer, the Corporate Controller, the Chief Legal Officer or Secretary (or other senior executive of the Company with a similar role or title)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means a certificate signed by any two Officers of the Company, and delivered to the Trustee, which meets the requirements of Section 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means a written opinion from legal counsel, which opinion meets the requirements of Section 102. The counsel may be an employee of, or counsel for, the Company or an affiliate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Original Issue Discount Security</w:t>
      </w:r>
      <w:r>
        <w:rPr>
          <w:rFonts w:ascii="Times New Roman;Times;Serif" w:hAnsi="Times New Roman;Times;Serif"/>
          <w:b w:val="false"/>
          <w:i w:val="false"/>
          <w:caps w:val="false"/>
          <w:smallCaps w:val="false"/>
          <w:sz w:val="20"/>
        </w:rPr>
        <w:t>” means any Security that provides for an amount less than the principal amount thereof to be due and payable upon a declaration of acceleration of the Maturity thereof pursuant to Section 502.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w:t>
      </w:r>
      <w:r>
        <w:rPr>
          <w:rFonts w:ascii="Times New Roman;Times;Serif" w:hAnsi="Times New Roman;Times;Serif"/>
          <w:b w:val="false"/>
          <w:i w:val="false"/>
          <w:caps w:val="false"/>
          <w:smallCaps w:val="false"/>
          <w:sz w:val="20"/>
        </w:rPr>
        <w:t>,” when used with respect to Securities, means, as of the date of determination, all Securities theretofore authenticated and delivered under this Indenture, except: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35"/>
        <w:gridCol w:w="9926"/>
      </w:tblGrid>
      <w:tr>
        <w:trPr/>
        <w:tc>
          <w:tcPr>
            <w:tcW w:w="4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20"/>
              </w:rPr>
            </w:pPr>
            <w:r>
              <w:rPr>
                <w:sz w:val="20"/>
              </w:rPr>
              <w:t>(i)</w:t>
            </w:r>
          </w:p>
        </w:tc>
        <w:tc>
          <w:tcPr>
            <w:tcW w:w="9926" w:type="dxa"/>
            <w:tcBorders/>
            <w:vAlign w:val="center"/>
          </w:tcPr>
          <w:p>
            <w:pPr>
              <w:pStyle w:val="TableContents"/>
              <w:bidi w:val="0"/>
              <w:spacing w:before="0" w:after="283"/>
              <w:jc w:val="both"/>
              <w:rPr/>
            </w:pPr>
            <w:r>
              <w:rPr/>
              <w:t>Securities theretofore canceled by the Trustee or delivered to the Trustee for cancellation;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20"/>
              </w:rPr>
            </w:pPr>
            <w:r>
              <w:rPr>
                <w:sz w:val="20"/>
              </w:rPr>
              <w:t>(ii)</w:t>
            </w:r>
          </w:p>
        </w:tc>
        <w:tc>
          <w:tcPr>
            <w:tcW w:w="9958" w:type="dxa"/>
            <w:tcBorders/>
            <w:vAlign w:val="center"/>
          </w:tcPr>
          <w:p>
            <w:pPr>
              <w:pStyle w:val="TableContents"/>
              <w:bidi w:val="0"/>
              <w:spacing w:before="0" w:after="283"/>
              <w:jc w:val="both"/>
              <w:rPr/>
            </w:pPr>
            <w:r>
              <w:rPr/>
              <w:t>Securities, or portions thereof, for whose payment or redemption or repayment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other provision therefor satisfactory to the Trustee has been made;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20"/>
              </w:rPr>
            </w:pPr>
            <w:r>
              <w:rPr>
                <w:sz w:val="20"/>
              </w:rPr>
              <w:t>(iii)</w:t>
            </w:r>
          </w:p>
        </w:tc>
        <w:tc>
          <w:tcPr>
            <w:tcW w:w="9881" w:type="dxa"/>
            <w:tcBorders/>
            <w:vAlign w:val="center"/>
          </w:tcPr>
          <w:p>
            <w:pPr>
              <w:pStyle w:val="TableContents"/>
              <w:bidi w:val="0"/>
              <w:spacing w:before="0" w:after="283"/>
              <w:jc w:val="both"/>
              <w:rPr/>
            </w:pPr>
            <w:r>
              <w:rPr/>
              <w:t>Securities, except solely to the extent provided in Sections 1302 or 1303, as applicable, with respect to which the Company has effected defeasance and/or covenant defeasance as provided in Article Thirteen;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20"/>
              </w:rPr>
            </w:pPr>
            <w:r>
              <w:rPr>
                <w:sz w:val="20"/>
              </w:rPr>
              <w:t>(iv)</w:t>
            </w:r>
          </w:p>
        </w:tc>
        <w:tc>
          <w:tcPr>
            <w:tcW w:w="9910" w:type="dxa"/>
            <w:tcBorders/>
            <w:vAlign w:val="center"/>
          </w:tcPr>
          <w:p>
            <w:pPr>
              <w:pStyle w:val="TableContents"/>
              <w:bidi w:val="0"/>
              <w:spacing w:before="0" w:after="283"/>
              <w:jc w:val="both"/>
              <w:rPr/>
            </w:pPr>
            <w:r>
              <w:rPr/>
              <w:t>Securities that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the Trustee that such Securities are held by a bona fide purchaser in whose hands such Securities are valid obligations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20"/>
              </w:rPr>
            </w:pPr>
            <w:r>
              <w:rPr>
                <w:sz w:val="20"/>
              </w:rPr>
              <w:t>(v)</w:t>
            </w:r>
          </w:p>
        </w:tc>
        <w:tc>
          <w:tcPr>
            <w:tcW w:w="9982" w:type="dxa"/>
            <w:tcBorders/>
            <w:vAlign w:val="center"/>
          </w:tcPr>
          <w:p>
            <w:pPr>
              <w:pStyle w:val="TableContents"/>
              <w:bidi w:val="0"/>
              <w:spacing w:before="0" w:after="283"/>
              <w:jc w:val="both"/>
              <w:rPr/>
            </w:pPr>
            <w:r>
              <w:rPr/>
              <w:t xml:space="preserve">Securities converted or exchanged into other securities or property (including securities of other issuers, provided that such securities are registered under Section 12 of the Exchange Act and such issuer is then eligible to use Form S-3 (or any successor form) for a primary offering of its securities) of the Company pursuant to or in accordance with this Indenture if the terms of such Securities provide for convertibility or exchange pursuant to Section 301; </w:t>
            </w:r>
            <w:r>
              <w:rPr>
                <w:i/>
              </w:rPr>
              <w:t>provided</w:t>
            </w:r>
            <w:r>
              <w:rPr/>
              <w:t xml:space="preserve">, </w:t>
            </w:r>
            <w:r>
              <w:rPr>
                <w:i/>
              </w:rPr>
              <w:t>however</w:t>
            </w:r>
            <w:r>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(a)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(b) the principal amount of any Security denominated in a Foreign Currency that may be counted in making such determination or calculation and that shall be deemed Outstanding for such purpose shall be equal to the Dollar equivalent, determined pursuant to Section 301 as of the date such Security is originally issued by the Company, of the principal amount (or, in the case of an Original Issue Discount Security, the Dollar equivalent as of such date of original issuance of the amount determined as provided in clause (a) above) of such Security, (c) the principal amount of any Indexed Security that may be counted in making such determination or calculation and that shall be deemed to be Outstanding for such purpose shall be equal to the principal face amount of such Indexed Security at original issuance, unless otherwise provided with respect to such Indexed Security pursuant to Section 301, and (d)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that a Responsible Officer of the Trustee actually knows to be so owned shall be so disregarded. Securities so owned that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means any Person authorized by the Company to pay the principal of (and premium or Make-Whole Amount, if any) or interest on any Securities, or if no such Person is authorized,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association, company, business trust, partnership, limited liability company, joint venture, joint stock company, trust, unincorporated organization or government, or any agency or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Place of Payment</w:t>
      </w:r>
      <w:r>
        <w:rPr>
          <w:rFonts w:ascii="Times New Roman;Times;Serif" w:hAnsi="Times New Roman;Times;Serif"/>
          <w:b w:val="false"/>
          <w:i w:val="false"/>
          <w:caps w:val="false"/>
          <w:smallCaps w:val="false"/>
          <w:sz w:val="20"/>
        </w:rPr>
        <w:t>” means, when used with respect to the Securities of or within any series, the place or places where the principal of (and premium or Make-Whole Amount, if any) and interest on such Securities are payable as specified as contemplated by Sections 301 and 1002.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Predecessor Security</w:t>
      </w:r>
      <w:r>
        <w:rPr>
          <w:rFonts w:ascii="Times New Roman;Times;Serif" w:hAnsi="Times New Roman;Times;Serif"/>
          <w:b w:val="false"/>
          <w:i w:val="false"/>
          <w:caps w:val="false"/>
          <w:smallCaps w:val="false"/>
          <w:sz w:val="20"/>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Redemption Date</w:t>
      </w:r>
      <w:r>
        <w:rPr>
          <w:rFonts w:ascii="Times New Roman;Times;Serif" w:hAnsi="Times New Roman;Times;Serif"/>
          <w:b w:val="false"/>
          <w:i w:val="false"/>
          <w:caps w:val="false"/>
          <w:smallCaps w:val="false"/>
          <w:sz w:val="20"/>
        </w:rPr>
        <w:t>” means, when used with respect to any Security to be redeemed in whole or in part, the date fixed for such redemption by or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Redemption Price</w:t>
      </w:r>
      <w:r>
        <w:rPr>
          <w:rFonts w:ascii="Times New Roman;Times;Serif" w:hAnsi="Times New Roman;Times;Serif"/>
          <w:b w:val="false"/>
          <w:i w:val="false"/>
          <w:caps w:val="false"/>
          <w:smallCaps w:val="false"/>
          <w:sz w:val="20"/>
        </w:rPr>
        <w:t>” means, when used with respect to any Security to be redeemed, the price at which it is to be redeemed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Registered Security</w:t>
      </w:r>
      <w:r>
        <w:rPr>
          <w:rFonts w:ascii="Times New Roman;Times;Serif" w:hAnsi="Times New Roman;Times;Serif"/>
          <w:b w:val="false"/>
          <w:i w:val="false"/>
          <w:caps w:val="false"/>
          <w:smallCaps w:val="false"/>
          <w:sz w:val="20"/>
        </w:rPr>
        <w:t>” means any Security that is registered in the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Regular Record Date</w:t>
      </w:r>
      <w:r>
        <w:rPr>
          <w:rFonts w:ascii="Times New Roman;Times;Serif" w:hAnsi="Times New Roman;Times;Serif"/>
          <w:b w:val="false"/>
          <w:i w:val="false"/>
          <w:caps w:val="false"/>
          <w:smallCaps w:val="false"/>
          <w:sz w:val="20"/>
        </w:rPr>
        <w:t>” for the installment of interest payable on any Interest Payment Date on the Registered Securities of or within any series means the date specified for that purpose as contemplated by Section 301, whether or not a Business Day.</w:t>
      </w:r>
    </w:p>
    <w:p>
      <w:pPr>
        <w:pStyle w:val="TextBody"/>
        <w:bidi w:val="0"/>
        <w:spacing w:before="0" w:after="0"/>
        <w:ind w:left="0" w:right="0" w:hanging="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Repayment Date</w:t>
      </w:r>
      <w:r>
        <w:rPr>
          <w:rFonts w:ascii="Times New Roman;Times;Serif" w:hAnsi="Times New Roman;Times;Serif"/>
          <w:b w:val="false"/>
          <w:i w:val="false"/>
          <w:caps w:val="false"/>
          <w:smallCaps w:val="false"/>
          <w:sz w:val="20"/>
        </w:rPr>
        <w:t>” means, when used with respect to any Security to be repaid, the date fixed for such repayment by or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w:t>
      </w:r>
      <w:r>
        <w:rPr>
          <w:rFonts w:ascii="Times New Roman;Times;Serif" w:hAnsi="Times New Roman;Times;Serif"/>
          <w:b w:val="false"/>
          <w:i w:val="false"/>
          <w:caps w:val="false"/>
          <w:smallCaps w:val="false"/>
          <w:sz w:val="20"/>
        </w:rPr>
        <w:t>” means the indenture trustee or other trustee, agent or representative for an issue of Senior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when used with respect to the Trustee, means any officer in the Corporate Trust Office of the Trustee assigned by the Trustee (or any successor group of the Trustee) to administer this Indenture and having direct responsibility for the administration of this Indenture, and also, with respect to a particular corporate trust matter relating to this Indenture, any other officer to whom such matter is referred because of such officer’s knowledge of and familiarity with the particular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w:t>
      </w:r>
      <w:r>
        <w:rPr>
          <w:rFonts w:ascii="Times New Roman;Times;Serif" w:hAnsi="Times New Roman;Times;Serif"/>
          <w:b w:val="false"/>
          <w:i w:val="false"/>
          <w:caps w:val="false"/>
          <w:smallCaps w:val="false"/>
          <w:sz w:val="20"/>
        </w:rPr>
        <w:t xml:space="preserve">” has the meaning stated in the first recital of this Indenture and, more particularly, means any Security or Securities authenticated and delivered under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at any time there is more than one Person acting as Trustee under this Indenture,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with respect to the Indenture as to which such Person is Trustee shall have the meaning stated in the first recital of this Indenture and shall more particularly mean Securities authenticated and delivered under this Indenture, exclusive, however, of Securities of or within any series as to which such Person is not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Register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Security Registrar</w:t>
      </w:r>
      <w:r>
        <w:rPr>
          <w:rFonts w:ascii="Times New Roman;Times;Serif" w:hAnsi="Times New Roman;Times;Serif"/>
          <w:b w:val="false"/>
          <w:i w:val="false"/>
          <w:caps w:val="false"/>
          <w:smallCaps w:val="false"/>
          <w:sz w:val="20"/>
        </w:rPr>
        <w:t>” have the respective meanings specified in Section 305.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Debt</w:t>
      </w:r>
      <w:r>
        <w:rPr>
          <w:rFonts w:ascii="Times New Roman;Times;Serif" w:hAnsi="Times New Roman;Times;Serif"/>
          <w:b w:val="false"/>
          <w:i w:val="false"/>
          <w:caps w:val="false"/>
          <w:smallCaps w:val="false"/>
          <w:sz w:val="20"/>
        </w:rPr>
        <w:t>” means the principal, premium, if any, unpaid interest (including interest accruing on or after the filing of any petition in bankruptcy or for reorganization relating to the Company whether or not a claim for post-filing interest is allowed in such proceeding), fees, charges, expenses, reimbursement and indemnification obligations, and all other amounts payable under or in respect of the following indebtedness of the Company for money borrowed, whether any such indebtedness exists as of the date of the Indenture or is created, incurred, assumed or guaranteed after such date: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20"/>
              </w:rPr>
            </w:pPr>
            <w:r>
              <w:rPr>
                <w:sz w:val="20"/>
              </w:rPr>
              <w:t>(i)</w:t>
            </w:r>
          </w:p>
        </w:tc>
        <w:tc>
          <w:tcPr>
            <w:tcW w:w="10021" w:type="dxa"/>
            <w:tcBorders/>
            <w:vAlign w:val="center"/>
          </w:tcPr>
          <w:p>
            <w:pPr>
              <w:pStyle w:val="TableContents"/>
              <w:bidi w:val="0"/>
              <w:spacing w:before="0" w:after="283"/>
              <w:jc w:val="both"/>
              <w:rPr/>
            </w:pPr>
            <w:r>
              <w:rPr/>
              <w:t>any debt (a) for money borrowed by the Company, or (b) evidenced by a bond, note, debenture, or similar instrument (including purchase money obligations) given in connection with the acquisition of any business, property or assets, whether by purchase, merger, consolidation or otherwise, but shall not include any account payable or other obligation created or assumed in the ordinary course of business in connection with the obtaining of materials or services, or (c) which is a direct or indirect obligation which arises as a result of banker’s acceptances or bank letters of credit issued to secure obligations of the Company, or to secure the payment of revenue bonds issued for the benefit of the Company whether contingent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20"/>
              </w:rPr>
            </w:pPr>
            <w:r>
              <w:rPr>
                <w:sz w:val="20"/>
              </w:rPr>
              <w:t>(ii)</w:t>
            </w:r>
          </w:p>
        </w:tc>
        <w:tc>
          <w:tcPr>
            <w:tcW w:w="9918" w:type="dxa"/>
            <w:tcBorders/>
            <w:vAlign w:val="center"/>
          </w:tcPr>
          <w:p>
            <w:pPr>
              <w:pStyle w:val="TableContents"/>
              <w:bidi w:val="0"/>
              <w:spacing w:before="0" w:after="283"/>
              <w:jc w:val="both"/>
              <w:rPr/>
            </w:pPr>
            <w:r>
              <w:rPr/>
              <w:t>any debt of others described in the preceding clause (i) that the Company has guaranteed or for which it is otherwise liable;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1"/>
        <w:gridCol w:w="9867"/>
      </w:tblGrid>
      <w:tr>
        <w:trPr/>
        <w:tc>
          <w:tcPr>
            <w:tcW w:w="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20"/>
              </w:rPr>
            </w:pPr>
            <w:r>
              <w:rPr>
                <w:sz w:val="20"/>
              </w:rPr>
              <w:t>(iii)</w:t>
            </w:r>
          </w:p>
        </w:tc>
        <w:tc>
          <w:tcPr>
            <w:tcW w:w="9867" w:type="dxa"/>
            <w:tcBorders/>
            <w:vAlign w:val="center"/>
          </w:tcPr>
          <w:p>
            <w:pPr>
              <w:pStyle w:val="TableContents"/>
              <w:bidi w:val="0"/>
              <w:spacing w:before="0" w:after="283"/>
              <w:jc w:val="both"/>
              <w:rPr/>
            </w:pPr>
            <w:r>
              <w:rPr/>
              <w:t>the obligation of the Company as lessee under any lease of property which is reflected on the Company’s balance sheet as a capitalized lease;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20"/>
              </w:rPr>
            </w:pPr>
            <w:r>
              <w:rPr>
                <w:sz w:val="20"/>
              </w:rPr>
              <w:t>(iv)</w:t>
            </w:r>
          </w:p>
        </w:tc>
        <w:tc>
          <w:tcPr>
            <w:tcW w:w="9884" w:type="dxa"/>
            <w:tcBorders/>
            <w:vAlign w:val="center"/>
          </w:tcPr>
          <w:p>
            <w:pPr>
              <w:pStyle w:val="TableContents"/>
              <w:bidi w:val="0"/>
              <w:spacing w:before="0" w:after="283"/>
              <w:jc w:val="both"/>
              <w:rPr/>
            </w:pPr>
            <w:r>
              <w:rPr/>
              <w:t>any deferral, amendment, renewal, extension, supplement or refunding of any liability of the kind described in any of the preceding clauses (i), (ii) and (iii);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determining the indebtedness of the Company, there shall be excluded any particular indebtedness if, upon or prior to the maturity thereof, there shall have been deposited with a depository in trust money (or evidence of indebtedness if permitted by the instrument creating such indebtedness) in the necessary amount to pay, redeem or satisfy such indebtedness as it becomes due, and the amount so deposited shall not be included in any determination of the indebtedness of the Company; provided, further, that, in determining the indebtedness of the Company hereunder, there shall be excluded (a) any such indebtedness, obligation or liability referred to in clauses (i) through (iv) above as to which, in the instrument creating or evidencing the same or pursuant to which the same is outstanding, it is provided that such indebtedness, obligation or liability is not superior in right of payment to the Securities, or ranks pari passu with the Securities, (b) any such indebtedness, obligation or liability which is subordinated to indebtedness of the Company to substantially the same extent as or to a greater extent than the Securities are subordinated, (c) any indebtedness to a Subsidiary and (d) the Securities. There is no limit on the amount of Senior Debt that the Company may incur.</w:t>
      </w:r>
    </w:p>
    <w:p>
      <w:pPr>
        <w:pStyle w:val="TextBody"/>
        <w:bidi w:val="0"/>
        <w:spacing w:before="0" w:after="0"/>
        <w:ind w:left="0" w:right="0" w:hanging="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Record Date</w:t>
      </w:r>
      <w:r>
        <w:rPr>
          <w:rFonts w:ascii="Times New Roman;Times;Serif" w:hAnsi="Times New Roman;Times;Serif"/>
          <w:b w:val="false"/>
          <w:i w:val="false"/>
          <w:caps w:val="false"/>
          <w:smallCaps w:val="false"/>
          <w:sz w:val="20"/>
        </w:rPr>
        <w:t>” for the payment of any Defaulted Interest on the Registered Securities of or within any series means a date fixed by the Company pursuant to Section 307.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Stated Maturity</w:t>
      </w:r>
      <w:r>
        <w:rPr>
          <w:rFonts w:ascii="Times New Roman;Times;Serif" w:hAnsi="Times New Roman;Times;Serif"/>
          <w:b w:val="false"/>
          <w:i w:val="false"/>
          <w:caps w:val="false"/>
          <w:smallCaps w:val="false"/>
          <w:sz w:val="20"/>
        </w:rPr>
        <w:t>” means, when used with respect to any Security or any installment of principal thereof or interest thereon, the date specified in such Security as the fixed date on which the principal of such Security or such installment of principal or interest is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 corporation or a partnership or a limited liability company a majority of the outstanding Voting Stock or partnership or membership interests, as the case may be, of which is owned or controlled, directly or indirectly, by the Company or by one or more of its other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TIA</w:t>
      </w:r>
      <w:r>
        <w:rPr>
          <w:rFonts w:ascii="Times New Roman;Times;Serif" w:hAnsi="Times New Roman;Times;Serif"/>
          <w:b w:val="false"/>
          <w:i w:val="false"/>
          <w:caps w:val="false"/>
          <w:smallCaps w:val="false"/>
          <w:sz w:val="20"/>
        </w:rPr>
        <w:t>” means the Trust Indenture Act of 1939, as amended and as in force at the date as of which this Indenture was executed, except as provided in Section 905.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at any time there is more than one such Person, “Trustee” as used with respect to the Securities of or within any series shall mean only the Trustee with respect to the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United States</w:t>
      </w:r>
      <w:r>
        <w:rPr>
          <w:rFonts w:ascii="Times New Roman;Times;Serif" w:hAnsi="Times New Roman;Times;Serif"/>
          <w:b w:val="false"/>
          <w:i w:val="false"/>
          <w:caps w:val="false"/>
          <w:smallCaps w:val="false"/>
          <w:sz w:val="20"/>
        </w:rPr>
        <w:t>” means, unless otherwise specified with respect to any Securities pursuant to Section 301, the United States of America (including the states and the District of Columbia), its territories, its possessions and other areas subject to its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United States person</w:t>
      </w:r>
      <w:r>
        <w:rPr>
          <w:rFonts w:ascii="Times New Roman;Times;Serif" w:hAnsi="Times New Roman;Times;Serif"/>
          <w:b w:val="false"/>
          <w:i w:val="false"/>
          <w:caps w:val="false"/>
          <w:smallCaps w:val="false"/>
          <w:sz w:val="20"/>
        </w:rPr>
        <w:t>” means, unless otherwise specified with respect to any Securities pursuant to Section 301, an individual who is a citizen or resident of the United States, a corporation, partnership or other entity created or organized in or under the laws of the United States or any state or the District of Columbia or an estate or trust the income of which is subject to United States federal income taxation regardless of its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has the meaning specified in Section 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Vice President</w:t>
      </w:r>
      <w:r>
        <w:rPr>
          <w:rFonts w:ascii="Times New Roman;Times;Serif" w:hAnsi="Times New Roman;Times;Serif"/>
          <w:b w:val="false"/>
          <w:i w:val="false"/>
          <w:caps w:val="false"/>
          <w:smallCaps w:val="false"/>
          <w:sz w:val="20"/>
        </w:rPr>
        <w:t>” when used with respect to the Trustee shall mean any vice president, whether or not designated by a number or word or words added before or after the title “vice president,” including any Executive or Senior Vice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Stock</w:t>
      </w:r>
      <w:r>
        <w:rPr>
          <w:rFonts w:ascii="Times New Roman;Times;Serif" w:hAnsi="Times New Roman;Times;Serif"/>
          <w:b w:val="false"/>
          <w:i w:val="false"/>
          <w:caps w:val="false"/>
          <w:smallCaps w:val="false"/>
          <w:sz w:val="20"/>
        </w:rPr>
        <w:t>” means stock having voting power for the election of directors, or trustees,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Yield to Maturity</w:t>
      </w:r>
      <w:r>
        <w:rPr>
          <w:rFonts w:ascii="Times New Roman;Times;Serif" w:hAnsi="Times New Roman;Times;Serif"/>
          <w:b w:val="false"/>
          <w:i w:val="false"/>
          <w:caps w:val="false"/>
          <w:smallCaps w:val="false"/>
          <w:sz w:val="20"/>
        </w:rPr>
        <w:t>” means the yield to maturity, computed at the time of issuance of a Security (or, if applicable, at the most recent predetermination of interest on such Security) and as set forth in such Security in accordance with generally accepted United States bond yield computation principles.</w:t>
      </w:r>
    </w:p>
    <w:p>
      <w:pPr>
        <w:pStyle w:val="TextBody"/>
        <w:bidi w:val="0"/>
        <w:spacing w:before="0" w:after="0"/>
        <w:ind w:left="0" w:right="0" w:hanging="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102. Compliance Certificates and Opinions.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application or request by the Company to the Trustee to take any action under any provision of this Indenture, the Company shall furnish to the Trustee an Officers’ Certificate stating that all conditions precedent, if any, provided for in this Indenture (including covenants, compliance with which constitutes conditions precedent)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or opinion with respect to compliance with a condition or covenant provided for in this Indenture (excluding certificates delivered pursuant to Section 1007) shall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20"/>
              </w:rPr>
            </w:pPr>
            <w:r>
              <w:rPr>
                <w:sz w:val="20"/>
              </w:rPr>
              <w:t>(i)</w:t>
            </w:r>
          </w:p>
        </w:tc>
        <w:tc>
          <w:tcPr>
            <w:tcW w:w="9986" w:type="dxa"/>
            <w:tcBorders/>
            <w:vAlign w:val="center"/>
          </w:tcPr>
          <w:p>
            <w:pPr>
              <w:pStyle w:val="TableContents"/>
              <w:bidi w:val="0"/>
              <w:spacing w:before="0" w:after="283"/>
              <w:jc w:val="both"/>
              <w:rPr/>
            </w:pPr>
            <w:r>
              <w:rPr/>
              <w:t>a statement that each individual signing such certificate or opinion has read such condition or covenant and the definitions herein relating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20"/>
              </w:rPr>
            </w:pPr>
            <w:r>
              <w:rPr>
                <w:sz w:val="20"/>
              </w:rPr>
              <w:t>(ii)</w:t>
            </w:r>
          </w:p>
        </w:tc>
        <w:tc>
          <w:tcPr>
            <w:tcW w:w="9933" w:type="dxa"/>
            <w:tcBorders/>
            <w:vAlign w:val="center"/>
          </w:tcPr>
          <w:p>
            <w:pPr>
              <w:pStyle w:val="TableContents"/>
              <w:bidi w:val="0"/>
              <w:spacing w:before="0" w:after="283"/>
              <w:jc w:val="both"/>
              <w:rPr/>
            </w:pPr>
            <w:r>
              <w:rPr/>
              <w:t>a brief statement as to the nature and scope of the examination or investigation upon which the statements or opinions contained in such certificate or opinion are based;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20"/>
              </w:rPr>
            </w:pPr>
            <w:r>
              <w:rPr>
                <w:sz w:val="20"/>
              </w:rPr>
              <w:t>(iii)</w:t>
            </w:r>
          </w:p>
        </w:tc>
        <w:tc>
          <w:tcPr>
            <w:tcW w:w="9884" w:type="dxa"/>
            <w:tcBorders/>
            <w:vAlign w:val="center"/>
          </w:tcPr>
          <w:p>
            <w:pPr>
              <w:pStyle w:val="TableContents"/>
              <w:bidi w:val="0"/>
              <w:spacing w:before="0" w:after="283"/>
              <w:jc w:val="both"/>
              <w:rPr/>
            </w:pPr>
            <w:r>
              <w:rPr/>
              <w:t>a statement that, in the opinion of each such individual, he has made such examination or investigation as is necessary to enable him to express an informed opinion as to whether or not such condition or covenant has been complied with;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7"/>
        <w:gridCol w:w="9871"/>
      </w:tblGrid>
      <w:tr>
        <w:trPr/>
        <w:tc>
          <w:tcPr>
            <w:tcW w:w="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20"/>
              </w:rPr>
            </w:pPr>
            <w:r>
              <w:rPr>
                <w:sz w:val="20"/>
              </w:rPr>
              <w:t>(iv)</w:t>
            </w:r>
          </w:p>
        </w:tc>
        <w:tc>
          <w:tcPr>
            <w:tcW w:w="9871" w:type="dxa"/>
            <w:tcBorders/>
            <w:vAlign w:val="center"/>
          </w:tcPr>
          <w:p>
            <w:pPr>
              <w:pStyle w:val="TableContents"/>
              <w:bidi w:val="0"/>
              <w:spacing w:before="0" w:after="283"/>
              <w:jc w:val="both"/>
              <w:rPr/>
            </w:pPr>
            <w:r>
              <w:rPr/>
              <w:t>a statement as to whether, in the opinion of each such individual, such condition or covenant has been complied with.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103. Form of Documents Delivered to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as to some matters and one or more other such Persons as to other matters, and any such Person may certify or give an opinion as to such matters in one or several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or opinion of an Officer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stating that the information as to such factual matters is in the possession of the Company, unless such counsel knows that the certificate or opinion or representations as to such matters are erroneous.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any Person is required to make, give or execute two or more applications, requests, consents, certificates, statements, opinions or other instruments under this Indenture, they may, but need not, be consolidated and form one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104. Acts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(subject to Section 612) conclusive in favor of the Trustee and the Company and any agent of the Trustee or the Company, if made in the manner provided in this Section. The record of any meeting of Holders of Securities shall be proved in the manner provided in Section 1406.</w:t>
      </w:r>
    </w:p>
    <w:p>
      <w:pPr>
        <w:pStyle w:val="TextBody"/>
        <w:bidi w:val="0"/>
        <w:spacing w:before="0" w:after="0"/>
        <w:ind w:left="0" w:right="0" w:hanging="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that the Trustee deems sufficient.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ownership of Registered Securities shall be proved by the Security Register or by a certificate of the Security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eleven months after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105. Notices,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request, demand, authorization, direction, notice, consent, waiver or Act of Holders or other document provided or permitted by this Indenture to be made upon, given or furnished to or filed with,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(i)</w:t>
            </w:r>
          </w:p>
        </w:tc>
        <w:tc>
          <w:tcPr>
            <w:tcW w:w="10013" w:type="dxa"/>
            <w:tcBorders/>
            <w:vAlign w:val="center"/>
          </w:tcPr>
          <w:p>
            <w:pPr>
              <w:pStyle w:val="TableContents"/>
              <w:bidi w:val="0"/>
              <w:spacing w:before="0" w:after="283"/>
              <w:jc w:val="both"/>
              <w:rPr/>
            </w:pPr>
            <w:r>
              <w:rPr/>
              <w:t>the Trustee by any Holder or by the Company shall be sufficient for every purpose hereunder if in writing and sent, first-class postage prepaid, or sent via overnight courier guaranteeing next day delivery, same day messenger service or by electronic mail (in PDF) to the Trustee at its Corporate Trust Office, Attention: Burke &amp; Herbert Financial Services Corp. Administrator,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20"/>
              </w:rPr>
            </w:pPr>
            <w:r>
              <w:rPr>
                <w:sz w:val="20"/>
              </w:rPr>
              <w:t>(ii)</w:t>
            </w:r>
          </w:p>
        </w:tc>
        <w:tc>
          <w:tcPr>
            <w:tcW w:w="9957" w:type="dxa"/>
            <w:tcBorders/>
            <w:vAlign w:val="center"/>
          </w:tcPr>
          <w:p>
            <w:pPr>
              <w:pStyle w:val="TableContents"/>
              <w:bidi w:val="0"/>
              <w:spacing w:before="0" w:after="283"/>
              <w:jc w:val="both"/>
              <w:rPr/>
            </w:pPr>
            <w:r>
              <w:rPr/>
              <w:t>the Company by the Trustee or by any Holder shall be sufficient for every purpose hereunder (unless otherwise herein expressly provided) if in writing and sent, first-class postage prepaid, or sent via overnight courier guaranteeing next day delivery, same day messenger service or electronic mail (in PDF), to the Company addressed to it at the address of its principal office specified in the first paragraph of this Indenture or at any other address previously furnished in writing to the Trustee by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and communications (other than those sent to Holders) shall be deemed to have been duly given: (i) at the time delivered by hand, if personally delivered; (ii) when return receipt is delivered, if delivered by electronic mail; (iii) five Business Days after being deposited in the mail, postage prepaid; and (iv) the next Business Day after timely delivery to the courier, if sent by overnight air courier guaranteeing next day delivery. Notice to the Trustee shall be effective only if such receipt is acknowledged.</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under this Indenture the Trustee or the Company is required to provide any notice by mail, in all cases each of the Trustee and the Company may alternatively provide notice by overnight courier, by facsimile, with confirmation of transmission, or by electronic mail, with return receipt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106. Notice to Holders;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of any event to Holders of Registered Securities by the Company or the Trustee, such notice shall be sufficiently given (unless otherwise herein expressly provided) if in writing and mailed, first-class postage prepaid, by overnight courier guaranteeing next day delivery, by facsimile or by electronic mail to each such Holder affected by such event, at his address, facsimile number or email address as it appears in the Security Register, not later than the latest date, and not earlier than the earliest date, prescribed for the giving of such notice. Any notice or communication shall also be so delivered to any Person, to the extent required by the TIA. In any case where notice to Holders of Registered Securities is given as provided herein, neither the failure to send such notice, nor any defect in any notice so sent, to any particular Holder shall affect the sufficiency of such notice with respect to other Holders of Registered Securities. Any notice mailed or sent to a Holder in the manner herein prescribed shall be conclusively deemed to have been received by such Holder, whether or not such Holder actually receives such notice. In the case of a global Security, notices shall be given in accordance with the applicable procedures of DTC. Notwithstanding any other provision of this Indenture or any Security, where this Indenture or any Security provides for notice of any event (including any notice of redemption or repurchase) to a Holder of a global Security (whether by mail or otherwise), such notice shall be sufficiently given if given to DTC (or its designee) pursuant to the standing instructions from DTC or its designee, including by electronic mail in accordance with Applicable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by reason of the suspension of or irregularities in regular mail service or by reason of any other cause it shall be impracticable to give such notice by mail or electronically as prescribed above, then such notification to Holders of Registered Securities by other means as determined by the Company shall constitute a sufficient notification to such Holders for every purpose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request, demand, authorization, direction, notice, consent or waiver required or permitted under this Indenture shall be in the English language, except that any published notice may be in an official language of the country of publication.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107. Effect of Headings; Table of Contents; Counterparts.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 and Section headings herein and the Table of Contents are for convenience only and shall not affect the construction hereof. This Indenture may be executed in any number of counterparts, each of which so executed shall be deemed to be an original, but all such counterparts shall together constitute but one and the same Indenture. Notwithstanding the foregoing, and subject to Section 116, the exchange of copies of this Indenture and of signature pages by facsimile, PDF (including by e-mail), Docusign, other electronic signature platform or other electronic transmission shall constitute effective execution and delivery of this Indenture as to the parties hereto and may be used in lieu of the original Indenture and signature pages for all purposes. The provisions of Section 116 shall govern the use and legal effect of electronic signatures and electronic delivery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108.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covenants and agreements in this Indenture by the Company shall bind its successors and assigns, whether so expressed or not.</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109. Separability Clause.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in this Indenture or in any Security shall be invalid, illegal or unenforceable,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 Benefits of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Indenture or in the Securities, express or implied, shall give to any Person, other than the parties hereto, any Security Registrar, any Paying Agent, any Authenticating Agent and their successors hereunder (and, with respect to Article Fifteen, the holders of Senior Debt) or the Holders any benefit or any legal or equitable right, remedy or claim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111. No Personal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under or upon any obligation, covenant or agreement contained in this Indenture, in any Security, or because of any indebtedness evidenced thereby, shall be had against any promoter, as such, or against any past, present or future shareholder, officer or director,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112. 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the Securities shall be governed by and construed in accordance with the laws of the State of New York. This Indenture is subject to the provisions of the TIA that are required to be part of this Indenture and shall, to the extent applicable, be governed by such provisions. The parties to this Indenture each hereby irrevocably submits to the non-exclusive jurisdiction of any New York State or federal court sitting in the Borough of Manhattan in The City of New York in any action or proceeding arising out of or relating to the Securities or this Indenture, and all such parties hereby irrevocably agree that all claims in respect of such action or proceeding may be heard and determined in such New York State or federal court and hereby irrevocably waive, to the fullest extent that they may legally do so, the defense of an inconvenient forum to the maintenance of such action or proceeding. EACH OF THE PARTIES HERETO AND THE HOLDERS (BY THEIR ACCEPTANCE OF THE SECURITIES) HEREBY IRREVOCABLY WAIVES, TO THE FULLEST EXTENT PERMITTED BY APPLICABLE LAW, ANY AND ALL RIGHT TO TRIAL BY JURY IN ANY ACTION OR PROCEEDING ARISING OUT OF OR RELATING TO THIS INDENTURE, THE SECURITIES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113. Legal Holidays.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case where any Interest Payment Date, Redemption Date, Repayment Date, sinking fund payment date, Stated Maturity or Maturity of any Security or the last date on which a Holder has the right to convert or exchange a Security at a particular conversion or exchange price shall not be a Business Day at any Place of Payment, then (notwithstanding any other provision of this Indenture or any Security other than a provision in the Securities of any series that specifically states that such provision shall apply in lieu hereof), payment of interest or any Additional Amounts or principal (and premium or Make-Whole Amount, if any) need not be made at such Place of Payment on such date, conversion or exchange need not be made at such Place of Payment on such date, but may be made on the next succeeding Business Day at such Place of Payment with the same force and effect as if made on the Interest Payment Date, Redemption Date, Repayment Date or sinking fund payment date, or at the Stated Maturity or Maturity or on such last day for conversion or exchange, provided that no interest shall accrue on the amount so payable for the period from and after such Interest Payment Date, Redemption Date, Repayment Date, sinking fund payment date, Stated Maturity or Maturity or on such last day for conversion or exchange, as the case may be.</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114. Force Majeure.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Trustee (in any capacity hereunder) be responsible or liable for any failure or delay in the performance of its obligations hereunder arising out of or caused by, directly or indirectly, circumstances beyond its control, including, without limitation, any act or provisions of any present or future law or regulation or governmental authority, strikes, work stoppages, accidents, labor disputes, acts of war or terrorism, civil or military disturbances, nuclear or natural catastrophes including earthquakes, fires, floods, wars, terrorism or acts of God, sabotage, epidemics, riots, and interruptions, loss or malfunctions of utilities, communications or computer (software and hardware) services or the unavailability of the Federal Reserve Bank wire or telex or other wire or communication facility; it being understood that the Trustee (in any capacity hereunder) shall use reasonable efforts which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115. 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acknowledge that in accordance with Section 326 of the Uniting and Strengthening America by Providing Appropriate Tools Required to Intercept and Obstruct Terrorism Act of 2001, as amended (the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116. Electronic 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the Trustee, the Holders and their respective agents may execute, deliver and transmit this Indenture, any supplemental indenture and any notices, certificates, Officers’ Certificates, Opinions of Counsel, Company Requests, Company Orders and all other documents and instruments required or permitted under this Indenture or any supplemental indenture by electronic signature or electronic transmission. Any electronic signature, including any signature transmitted via PDF (including by e-mail), facsimile, DocuSign or other electronic signature platform, on any such document or instrument shall be deemed to be an original signature and shall have the same legal validity, enforceability and admissibility as a manual ink signature. The parties intend that this Section comply with the Electronic Signatures in Global and National Commerce Act, 15 U.S.C. § 7001 et seq. (E-SIGN Act), the Uniform Electronic Transactions Act (UETA) as adopted in the applicable jurisdiction and any other applicable law governing electronic transactions. Delivery of an executed counterpart of this Indenture or any document or instrument delivered pursuant hereto by electronic transmission, including by PDF (including by e-mail), facsimile, DocuSign, other electronic signature platform or other electronic means, shall be as effective as delivery of a manually executed original. No party shall deny the legal effect, validity or enforceability of any document or instrument solely because it was executed or delivered using an electronic signature or electronic transmission. The foregoing provisions shall apply to the execution and delivery of supplemental indentures, Officers’ Certificates, Opinions of Counsel, Company Requests, Company Orders, Acts of Holders and any other notices, consents, waivers or other communications required or permitted hereunder. Notwithstanding the foregoing, nothing in this Section 116 shall require any party to use or accept electronic signatures if such party elects in a reasonable time by providing written notice to the other parties to require original manual signatures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TWO</w:t>
        <w:br/>
        <w:t>SECURITIES 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201. Forms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Securities, if any, shall be in substantially the forms as shall be established in or pursuant to one or more indentures supplemental hereto, Board Resolutions or, subject to Section 303 or determined in the manner provided in, an Officers’ Certificate pursuant to a Board Resolution,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stock exchange on which the Securities may be listed, or to conform to usage.</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definitive Securities shall be printed, lithographed or engraved or produced by any combination of these methods on a steel engraved border or steel engraved borders or may be produced in any other manner, all as determined by the officers of the Company executing such Securities, as evidenced by their execution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202. Form of 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611, the Trustee’s certificate of authentication shall be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and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5299" w:type="dxa"/>
        <w:jc w:val="left"/>
        <w:tblInd w:w="0" w:type="dxa"/>
        <w:tblLayout w:type="fixed"/>
        <w:tblCellMar>
          <w:top w:w="0" w:type="dxa"/>
          <w:left w:w="0" w:type="dxa"/>
          <w:bottom w:w="0" w:type="dxa"/>
          <w:right w:w="0" w:type="dxa"/>
        </w:tblCellMar>
      </w:tblPr>
      <w:tblGrid>
        <w:gridCol w:w="75"/>
        <w:gridCol w:w="792"/>
        <w:gridCol w:w="4432"/>
      </w:tblGrid>
      <w:tr>
        <w:trPr/>
        <w:tc>
          <w:tcPr>
            <w:tcW w:w="75" w:type="dxa"/>
            <w:tcBorders/>
            <w:vAlign w:val="center"/>
          </w:tcPr>
          <w:p>
            <w:pPr>
              <w:pStyle w:val="TableContents"/>
              <w:bidi w:val="0"/>
              <w:spacing w:before="0" w:after="283"/>
              <w:jc w:val="left"/>
              <w:rPr/>
            </w:pPr>
            <w:r>
              <w:rPr/>
              <w:t> </w:t>
            </w:r>
          </w:p>
        </w:tc>
        <w:tc>
          <w:tcPr>
            <w:tcW w:w="52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WILMINGTON TRUST, NATIONAL ASSOCIATION, as Trustee</w:t>
            </w:r>
          </w:p>
        </w:tc>
      </w:tr>
      <w:tr>
        <w:trPr/>
        <w:tc>
          <w:tcPr>
            <w:tcW w:w="75" w:type="dxa"/>
            <w:tcBorders/>
            <w:vAlign w:val="center"/>
          </w:tcPr>
          <w:p>
            <w:pPr>
              <w:pStyle w:val="TableContents"/>
              <w:bidi w:val="0"/>
              <w:spacing w:before="0" w:after="283"/>
              <w:jc w:val="left"/>
              <w:rPr/>
            </w:pPr>
            <w:r>
              <w:rPr/>
              <w:t> </w:t>
            </w:r>
          </w:p>
        </w:tc>
        <w:tc>
          <w:tcPr>
            <w:tcW w:w="52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432"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both"/>
              <w:rPr/>
            </w:pPr>
            <w:r>
              <w:rPr/>
              <w:t> </w:t>
            </w:r>
          </w:p>
        </w:tc>
        <w:tc>
          <w:tcPr>
            <w:tcW w:w="44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203. Securities Issuable in Global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of or within a series are issuable in global form, as specified as contemplated by Section 301, then, notwithstanding clause (viii) of Section 301 and the provisions of Section 302,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maturities or redemptions. Any endorsement of a Security in global form to reflect the amount, or any increase or decrease in the amount, of Outstanding Securities represented thereby shall be made by the Trustee in such manner and upon written instruction given by such Person or Persons as shall be specified therein or in the Company Order to be delivered to the Trustee pursuant to Section 303 or 304. Subject to the provisions of Section 303 and, if applicable, Section 304, the Trustee shall deliver and redeliver any Security in permanent global form in the manner and upon written instructions given by the Person or Persons specified therein or in the applicable Company Order. If a Company Order pursuant to Section 303 or 304 has been, or simultaneously is, delivered, any instructions by the Company with respect to endorsement or delivery or redelivery of a Security in global form shall be in writing but need not comply with Section 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the last sentence of Section 303 shall apply to any Security represented by a Security in global form if such Security was never issued and sold by the Company and the Company delivers to the Trustee the Security in global form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Section 307, unless otherwise specified as contemplated by Section 301, payment of principal of and any premium or Make-Whole Amount and interest on any Security in permanent global form shall be made to the Person or Persons specified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Section 308 and except as provided in the preceding paragraph, the Company, the Trustee and any agent of the Company and the Trustee shall treat as the Holder of such principal amount of Outstanding Securities represented by a permanent global Security, in the case of a permanent global Security in registered form, as the Holder of such permanent global Security in registered form. The Trustee and any Paying Agent are hereby authorized to act in accordance with Applicable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so long as a series of Securities is a global Security, the parties hereto will be bound at all times by the procedures of the applicable depositary with respect to such series.</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THREE</w:t>
        <w:br/>
        <w:t>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301. Amount Unlimited; Issuable in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Securities that may be authenticated and delivered under this Indenture is unlimited.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issued in one or more series. There shall be established in or pursuant to one or more Board Resolutions, or indentures supplemental hereto, prior to the issuance of Securities of any series, any or all of the following, as applicable (each of which (except for the matters set forth in clauses (i), (ii) and (xv) below), if so provided, may be determined from time to time by the Company with respect to unissued Securities of or within the series when issued from time to time):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20"/>
              </w:rPr>
            </w:pPr>
            <w:r>
              <w:rPr>
                <w:sz w:val="20"/>
              </w:rPr>
              <w:t>(i)</w:t>
            </w:r>
          </w:p>
        </w:tc>
        <w:tc>
          <w:tcPr>
            <w:tcW w:w="9981" w:type="dxa"/>
            <w:tcBorders/>
            <w:vAlign w:val="center"/>
          </w:tcPr>
          <w:p>
            <w:pPr>
              <w:pStyle w:val="TableContents"/>
              <w:bidi w:val="0"/>
              <w:spacing w:before="0" w:after="283"/>
              <w:jc w:val="both"/>
              <w:rPr/>
            </w:pPr>
            <w:r>
              <w:rPr/>
              <w:t>the title of the Securities of or within the series (that shall distinguish the Securities of such series from all other series of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20"/>
              </w:rPr>
            </w:pPr>
            <w:r>
              <w:rPr>
                <w:sz w:val="20"/>
              </w:rPr>
              <w:t>(ii)</w:t>
            </w:r>
          </w:p>
        </w:tc>
        <w:tc>
          <w:tcPr>
            <w:tcW w:w="9952" w:type="dxa"/>
            <w:tcBorders/>
            <w:vAlign w:val="center"/>
          </w:tcPr>
          <w:p>
            <w:pPr>
              <w:pStyle w:val="TableContents"/>
              <w:bidi w:val="0"/>
              <w:spacing w:before="0" w:after="283"/>
              <w:jc w:val="both"/>
              <w:rPr/>
            </w:pPr>
            <w:r>
              <w:rPr/>
              <w:t>any limit upon the aggregate principal amount of the Securities of or within the series that may be authenticated and delivered under this Indenture (except for Securities authenticated and delivered upon registration of transfer of, or in exchange for, or in lieu of, other Securities of or within the series pursuant to Sections 304, 305, 306, 906 or 1107);</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20"/>
              </w:rPr>
            </w:pPr>
            <w:r>
              <w:rPr>
                <w:sz w:val="20"/>
              </w:rPr>
              <w:t>(iii)</w:t>
            </w:r>
          </w:p>
        </w:tc>
        <w:tc>
          <w:tcPr>
            <w:tcW w:w="9880" w:type="dxa"/>
            <w:tcBorders/>
            <w:vAlign w:val="center"/>
          </w:tcPr>
          <w:p>
            <w:pPr>
              <w:pStyle w:val="TableContents"/>
              <w:bidi w:val="0"/>
              <w:spacing w:before="0" w:after="283"/>
              <w:jc w:val="both"/>
              <w:rPr/>
            </w:pPr>
            <w:r>
              <w:rPr/>
              <w:t>the date or dates, or the method by which such date or dates will be determined, on which the principal of the Securities of or within the series shall be payable and the amount of principal payable thereon;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20"/>
              </w:rPr>
            </w:pPr>
            <w:r>
              <w:rPr>
                <w:sz w:val="20"/>
              </w:rPr>
              <w:t>(iv)</w:t>
            </w:r>
          </w:p>
        </w:tc>
        <w:tc>
          <w:tcPr>
            <w:tcW w:w="9915" w:type="dxa"/>
            <w:tcBorders/>
            <w:vAlign w:val="center"/>
          </w:tcPr>
          <w:p>
            <w:pPr>
              <w:pStyle w:val="TableContents"/>
              <w:bidi w:val="0"/>
              <w:spacing w:before="0" w:after="283"/>
              <w:jc w:val="both"/>
              <w:rPr/>
            </w:pPr>
            <w:r>
              <w:rPr/>
              <w:t>the rate or rates (that may be fixed or variable) at which the Securities of or within the series shall bear interest, if any, or the method by which such rate or rates shall be determined, the date or dates from which such interest shall accrue or the method by which such date or dates shall be determined, the Interest Payment Dates on which such interest will be payable and the Regular Record Date, if any, for the interest payable on any Registered Security on any Interest Payment Date, or the method by which such date shall be determined, and the basis upon which interest shall be calculated if other than that of a 360-day year consisting of twelve 30-day months;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20"/>
              </w:rPr>
            </w:pPr>
            <w:r>
              <w:rPr>
                <w:sz w:val="20"/>
              </w:rPr>
              <w:t>(v)</w:t>
            </w:r>
          </w:p>
        </w:tc>
        <w:tc>
          <w:tcPr>
            <w:tcW w:w="9971" w:type="dxa"/>
            <w:tcBorders/>
            <w:vAlign w:val="center"/>
          </w:tcPr>
          <w:p>
            <w:pPr>
              <w:pStyle w:val="TableContents"/>
              <w:bidi w:val="0"/>
              <w:spacing w:before="0" w:after="283"/>
              <w:jc w:val="both"/>
              <w:rPr/>
            </w:pPr>
            <w:r>
              <w:rPr/>
              <w:t>the place or places where the principal of (and premium or Make-Whole Amount, if any), interest, if any, on, and Additional Amounts, if any, payable in respect of, Securities of or within the series shall be payable, any Registered Securities of or within the series may be surrendered for registration of transfer, exchange or conversion and notices or demands to or upon the Company in respect of the Securities of or within the series and this Indenture may be served;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20"/>
              </w:rPr>
            </w:pPr>
            <w:r>
              <w:rPr>
                <w:sz w:val="20"/>
              </w:rPr>
              <w:t>(vi)</w:t>
            </w:r>
          </w:p>
        </w:tc>
        <w:tc>
          <w:tcPr>
            <w:tcW w:w="9909" w:type="dxa"/>
            <w:tcBorders/>
            <w:vAlign w:val="center"/>
          </w:tcPr>
          <w:p>
            <w:pPr>
              <w:pStyle w:val="TableContents"/>
              <w:bidi w:val="0"/>
              <w:spacing w:before="0" w:after="283"/>
              <w:jc w:val="both"/>
              <w:rPr/>
            </w:pPr>
            <w:r>
              <w:rPr/>
              <w:t>the period or periods within which, the price or prices (including the premium or Make-Whole Amount, if any) at which, the currency or currencies, currency unit or units or composite currency or currencies in which and other terms and conditions upon which Securities of or within the series may be redeemed in whole or in part, at the option of the Company, if the Company is to have the option;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5"/>
        <w:gridCol w:w="9853"/>
      </w:tblGrid>
      <w:tr>
        <w:trPr/>
        <w:tc>
          <w:tcPr>
            <w:tcW w:w="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20"/>
              </w:rPr>
            </w:pPr>
            <w:r>
              <w:rPr>
                <w:sz w:val="20"/>
              </w:rPr>
              <w:t>(vii)</w:t>
            </w:r>
          </w:p>
        </w:tc>
        <w:tc>
          <w:tcPr>
            <w:tcW w:w="9853" w:type="dxa"/>
            <w:tcBorders/>
            <w:vAlign w:val="center"/>
          </w:tcPr>
          <w:p>
            <w:pPr>
              <w:pStyle w:val="TableContents"/>
              <w:bidi w:val="0"/>
              <w:spacing w:before="0" w:after="283"/>
              <w:jc w:val="both"/>
              <w:rPr/>
            </w:pPr>
            <w:r>
              <w:rPr/>
              <w:t>the obligation, if any, of the Company to redeem, repay or purchase Securities of or within the series pursuant to any sinking fund or analogous provision or at the option of a Holder thereof, and the period or periods within which or the date or dates on which, the price or prices at which, the currency or currencies, currency unit or units or composite currency or currencies in which, and other terms and conditions upon which Securities of or within the series shall be redeemed, repaid or purchased, in whole or in part, pursuant to such obligation;</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00"/>
        <w:gridCol w:w="9768"/>
      </w:tblGrid>
      <w:tr>
        <w:trPr/>
        <w:tc>
          <w:tcPr>
            <w:tcW w:w="3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20"/>
              </w:rPr>
            </w:pPr>
            <w:r>
              <w:rPr>
                <w:sz w:val="20"/>
              </w:rPr>
              <w:t>(viii)</w:t>
            </w:r>
          </w:p>
        </w:tc>
        <w:tc>
          <w:tcPr>
            <w:tcW w:w="9768" w:type="dxa"/>
            <w:tcBorders/>
            <w:vAlign w:val="center"/>
          </w:tcPr>
          <w:p>
            <w:pPr>
              <w:pStyle w:val="TableContents"/>
              <w:bidi w:val="0"/>
              <w:spacing w:before="0" w:after="283"/>
              <w:jc w:val="both"/>
              <w:rPr/>
            </w:pPr>
            <w:r>
              <w:rPr/>
              <w:t>if other than denominations of $1,000 and any integral multiple thereof, the denominations in which any Registered Securities of or within the series shall be issuable;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71"/>
        <w:gridCol w:w="9788"/>
      </w:tblGrid>
      <w:tr>
        <w:trPr/>
        <w:tc>
          <w:tcPr>
            <w:tcW w:w="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20"/>
              </w:rPr>
            </w:pPr>
            <w:r>
              <w:rPr>
                <w:sz w:val="20"/>
              </w:rPr>
              <w:t>(ix)</w:t>
            </w:r>
          </w:p>
        </w:tc>
        <w:tc>
          <w:tcPr>
            <w:tcW w:w="9788" w:type="dxa"/>
            <w:tcBorders/>
            <w:vAlign w:val="center"/>
          </w:tcPr>
          <w:p>
            <w:pPr>
              <w:pStyle w:val="TableContents"/>
              <w:bidi w:val="0"/>
              <w:spacing w:before="0" w:after="283"/>
              <w:jc w:val="both"/>
              <w:rPr/>
            </w:pPr>
            <w:r>
              <w:rPr/>
              <w:t>if other than the Trustee, the identity of each Security Registrar and/or Paying Agent;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20"/>
              </w:rPr>
            </w:pPr>
            <w:r>
              <w:rPr>
                <w:sz w:val="20"/>
              </w:rPr>
              <w:t>(x)</w:t>
            </w:r>
          </w:p>
        </w:tc>
        <w:tc>
          <w:tcPr>
            <w:tcW w:w="9970" w:type="dxa"/>
            <w:tcBorders/>
            <w:vAlign w:val="center"/>
          </w:tcPr>
          <w:p>
            <w:pPr>
              <w:pStyle w:val="TableContents"/>
              <w:bidi w:val="0"/>
              <w:spacing w:before="0" w:after="283"/>
              <w:jc w:val="both"/>
              <w:rPr/>
            </w:pPr>
            <w:r>
              <w:rPr/>
              <w:t>if other than the principal amount thereof, the portion of the principal amount of Securities of or within the series that shall be payable upon declaration of acceleration of the maturity thereof pursuant to Section 502 or, if applicable, the portion of the principal amount of Securities of or within the series that is convertible in accordance with the provisions of this Indenture, or the method by which such portion shall be determined;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20"/>
              </w:rPr>
            </w:pPr>
            <w:r>
              <w:rPr>
                <w:sz w:val="20"/>
              </w:rPr>
              <w:t>(xi)</w:t>
            </w:r>
          </w:p>
        </w:tc>
        <w:tc>
          <w:tcPr>
            <w:tcW w:w="9905" w:type="dxa"/>
            <w:tcBorders/>
            <w:vAlign w:val="center"/>
          </w:tcPr>
          <w:p>
            <w:pPr>
              <w:pStyle w:val="TableContents"/>
              <w:bidi w:val="0"/>
              <w:spacing w:before="0" w:after="283"/>
              <w:jc w:val="both"/>
              <w:rPr/>
            </w:pPr>
            <w:r>
              <w:rPr/>
              <w:t>if other than Dollars, the Foreign Currency or Currencies in which payment of the principal of (and premium or Make-Whole Amount, if any) or interest or Additional Amounts, if any, on the Securities of or within the series shall be payable or in which the Securities of or within the series shall be denominated;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7"/>
        <w:gridCol w:w="9851"/>
      </w:tblGrid>
      <w:tr>
        <w:trPr/>
        <w:tc>
          <w:tcPr>
            <w:tcW w:w="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20"/>
              </w:rPr>
            </w:pPr>
            <w:r>
              <w:rPr>
                <w:sz w:val="20"/>
              </w:rPr>
              <w:t>(xii)</w:t>
            </w:r>
          </w:p>
        </w:tc>
        <w:tc>
          <w:tcPr>
            <w:tcW w:w="9851" w:type="dxa"/>
            <w:tcBorders/>
            <w:vAlign w:val="center"/>
          </w:tcPr>
          <w:p>
            <w:pPr>
              <w:pStyle w:val="TableContents"/>
              <w:bidi w:val="0"/>
              <w:spacing w:before="0" w:after="283"/>
              <w:jc w:val="both"/>
              <w:rPr/>
            </w:pPr>
            <w:r>
              <w:rPr/>
              <w:t>whether the amount of payments of principal of (and premium or Make-Whole Amount, if any) or interest, if any, on the Securities of or within the series may be determined with reference to an index, formula or other method (which index, formula or method may be based, without limitation, on one or more currencies, currency units, composite currencies, commodities, equity indices or other indices), and the manner in which such amounts shall be determined;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71"/>
        <w:gridCol w:w="9797"/>
      </w:tblGrid>
      <w:tr>
        <w:trPr/>
        <w:tc>
          <w:tcPr>
            <w:tcW w:w="3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20"/>
              </w:rPr>
            </w:pPr>
            <w:r>
              <w:rPr>
                <w:sz w:val="20"/>
              </w:rPr>
              <w:t>(xiii)</w:t>
            </w:r>
          </w:p>
        </w:tc>
        <w:tc>
          <w:tcPr>
            <w:tcW w:w="9797" w:type="dxa"/>
            <w:tcBorders/>
            <w:vAlign w:val="center"/>
          </w:tcPr>
          <w:p>
            <w:pPr>
              <w:pStyle w:val="TableContents"/>
              <w:bidi w:val="0"/>
              <w:spacing w:before="0" w:after="283"/>
              <w:jc w:val="both"/>
              <w:rPr/>
            </w:pPr>
            <w:r>
              <w:rPr/>
              <w:t>whether the principal of (and premium or Make-Whole Amount, if any) or interest or Additional Amounts, if any, on the Securities of or within the series are to be payable, at the election of the Company or a Holder thereof, in a currency or currencies, currency unit or units or composite currency or currencies other than that in which such Securities are denominated or stated to be payable, the period or periods within which, and the terms and conditions upon which, such election may be made, and the time and manner of, and identity of the exchange rate agent with responsibility for, determining the exchange rate between the currency or currencies, currency unit or units or composite currency or currencies in which such Securities are denominated or stated to be payable and the currency or currencies, currency unit or units or composite currency or currencies in which such Securities are to be so payable;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90"/>
        <w:gridCol w:w="9778"/>
      </w:tblGrid>
      <w:tr>
        <w:trPr/>
        <w:tc>
          <w:tcPr>
            <w:tcW w:w="3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20"/>
              </w:rPr>
            </w:pPr>
            <w:r>
              <w:rPr>
                <w:sz w:val="20"/>
              </w:rPr>
              <w:t>(xiv)</w:t>
            </w:r>
          </w:p>
        </w:tc>
        <w:tc>
          <w:tcPr>
            <w:tcW w:w="9778" w:type="dxa"/>
            <w:tcBorders/>
            <w:vAlign w:val="center"/>
          </w:tcPr>
          <w:p>
            <w:pPr>
              <w:pStyle w:val="TableContents"/>
              <w:bidi w:val="0"/>
              <w:spacing w:before="0" w:after="283"/>
              <w:jc w:val="both"/>
              <w:rPr/>
            </w:pPr>
            <w:r>
              <w:rPr/>
              <w:t>provisions, if any, granting special rights to the Holders of Securities of or within the series upon the occurrence of such events as may be specified;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1"/>
        <w:gridCol w:w="9857"/>
      </w:tblGrid>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20"/>
              </w:rPr>
            </w:pPr>
            <w:r>
              <w:rPr>
                <w:sz w:val="20"/>
              </w:rPr>
              <w:t>(xv)</w:t>
            </w:r>
          </w:p>
        </w:tc>
        <w:tc>
          <w:tcPr>
            <w:tcW w:w="9857" w:type="dxa"/>
            <w:tcBorders/>
            <w:vAlign w:val="center"/>
          </w:tcPr>
          <w:p>
            <w:pPr>
              <w:pStyle w:val="TableContents"/>
              <w:bidi w:val="0"/>
              <w:spacing w:before="0" w:after="283"/>
              <w:jc w:val="both"/>
              <w:rPr/>
            </w:pPr>
            <w:r>
              <w:rPr/>
              <w:t>any deletions from, modifications of or additions to the Events of Default or covenants of the Company with respect to Securities of or within the series, whether or not such Events of Default or covenants are consistent with the Events of Default or covenants set forth herein;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7"/>
        <w:gridCol w:w="9811"/>
      </w:tblGrid>
      <w:tr>
        <w:trPr/>
        <w:tc>
          <w:tcPr>
            <w:tcW w:w="3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20"/>
              </w:rPr>
            </w:pPr>
            <w:r>
              <w:rPr>
                <w:sz w:val="20"/>
              </w:rPr>
              <w:t>(xvi)</w:t>
            </w:r>
          </w:p>
        </w:tc>
        <w:tc>
          <w:tcPr>
            <w:tcW w:w="9811" w:type="dxa"/>
            <w:tcBorders/>
            <w:vAlign w:val="center"/>
          </w:tcPr>
          <w:p>
            <w:pPr>
              <w:pStyle w:val="TableContents"/>
              <w:bidi w:val="0"/>
              <w:spacing w:before="0" w:after="283"/>
              <w:jc w:val="both"/>
              <w:rPr/>
            </w:pPr>
            <w:r>
              <w:rPr/>
              <w:t>whether Securities of or within the series are to be issuable as Registered Securities, whether any Securities of or within the series are to be issuable initially in temporary global form and whether any Securities of or within the series are to be issuable in permanent global form and, if so, whether beneficial owners of interests in any such permanent global Security may exchange such interests for Securities of such series and of like tenor of any authorized form and denomination and the circumstances under which any such exchanges may occur, if other than in the manner provided in Section 305, and, if Registered Securities of or within the series are to be issuable as a global Security, the identity of the depository for such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22"/>
        <w:gridCol w:w="9746"/>
      </w:tblGrid>
      <w:tr>
        <w:trPr/>
        <w:tc>
          <w:tcPr>
            <w:tcW w:w="3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20"/>
              </w:rPr>
            </w:pPr>
            <w:r>
              <w:rPr>
                <w:sz w:val="20"/>
              </w:rPr>
              <w:t>(xvii)</w:t>
            </w:r>
          </w:p>
        </w:tc>
        <w:tc>
          <w:tcPr>
            <w:tcW w:w="9746" w:type="dxa"/>
            <w:tcBorders/>
            <w:vAlign w:val="center"/>
          </w:tcPr>
          <w:p>
            <w:pPr>
              <w:pStyle w:val="TableContents"/>
              <w:bidi w:val="0"/>
              <w:spacing w:before="0" w:after="283"/>
              <w:jc w:val="both"/>
              <w:rPr/>
            </w:pPr>
            <w:r>
              <w:rPr/>
              <w:t>the Person to whom any interest on any Registered Security of the series shall be payable, if other than the Person in whose name that Security (or one or more Predecessor Securities) is registered at the close of business on the Regular Record Date for such interest, and the extent to which, or the manner in which, any interest payable on a temporary global Security on an Interest Payment Date will be paid if other than in the manner provided in Section 304;</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98"/>
        <w:gridCol w:w="9670"/>
      </w:tblGrid>
      <w:tr>
        <w:trPr/>
        <w:tc>
          <w:tcPr>
            <w:tcW w:w="3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20"/>
              </w:rPr>
            </w:pPr>
            <w:r>
              <w:rPr>
                <w:sz w:val="20"/>
              </w:rPr>
              <w:t>(xviii)</w:t>
            </w:r>
          </w:p>
        </w:tc>
        <w:tc>
          <w:tcPr>
            <w:tcW w:w="9670" w:type="dxa"/>
            <w:tcBorders/>
            <w:vAlign w:val="center"/>
          </w:tcPr>
          <w:p>
            <w:pPr>
              <w:pStyle w:val="TableContents"/>
              <w:bidi w:val="0"/>
              <w:spacing w:before="0" w:after="283"/>
              <w:jc w:val="both"/>
              <w:rPr/>
            </w:pPr>
            <w:r>
              <w:rPr/>
              <w:t>the applicability, if any, of Sections 1302 and/or 1303 to the Securities of or within the series and any provisions in modification of, in addition to or in lieu of any of the provisions of Article Thirteen;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8"/>
        <w:gridCol w:w="9800"/>
      </w:tblGrid>
      <w:tr>
        <w:trPr/>
        <w:tc>
          <w:tcPr>
            <w:tcW w:w="3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20"/>
              </w:rPr>
            </w:pPr>
            <w:r>
              <w:rPr>
                <w:sz w:val="20"/>
              </w:rPr>
              <w:t>(xix)</w:t>
            </w:r>
          </w:p>
        </w:tc>
        <w:tc>
          <w:tcPr>
            <w:tcW w:w="9800" w:type="dxa"/>
            <w:tcBorders/>
            <w:vAlign w:val="center"/>
          </w:tcPr>
          <w:p>
            <w:pPr>
              <w:pStyle w:val="TableContents"/>
              <w:bidi w:val="0"/>
              <w:spacing w:before="0" w:after="283"/>
              <w:jc w:val="both"/>
              <w:rPr/>
            </w:pPr>
            <w:r>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1"/>
        <w:gridCol w:w="9867"/>
      </w:tblGrid>
      <w:tr>
        <w:trPr/>
        <w:tc>
          <w:tcPr>
            <w:tcW w:w="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20"/>
              </w:rPr>
            </w:pPr>
            <w:r>
              <w:rPr>
                <w:sz w:val="20"/>
              </w:rPr>
              <w:t>(xx)</w:t>
            </w:r>
          </w:p>
        </w:tc>
        <w:tc>
          <w:tcPr>
            <w:tcW w:w="9867" w:type="dxa"/>
            <w:tcBorders/>
            <w:vAlign w:val="center"/>
          </w:tcPr>
          <w:p>
            <w:pPr>
              <w:pStyle w:val="TableContents"/>
              <w:bidi w:val="0"/>
              <w:spacing w:before="0" w:after="283"/>
              <w:jc w:val="both"/>
              <w:rPr/>
            </w:pPr>
            <w:r>
              <w:rPr/>
              <w:t>whether and under what circumstances the Company will pay Additional Amounts as contemplated by Section 1008 on the Securities of or within the series to any Holder who is not a United States person (including any modification to the definition of such term) in respect of any tax, assessment or governmental charge and, if so, whether the Company will have the option to redeem such Securities rather than pay such Additional Amounts (and the terms of any such option);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9"/>
        <w:gridCol w:w="9809"/>
      </w:tblGrid>
      <w:tr>
        <w:trPr/>
        <w:tc>
          <w:tcPr>
            <w:tcW w:w="3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20"/>
              </w:rPr>
            </w:pPr>
            <w:r>
              <w:rPr>
                <w:sz w:val="20"/>
              </w:rPr>
              <w:t>(xxi)</w:t>
            </w:r>
          </w:p>
        </w:tc>
        <w:tc>
          <w:tcPr>
            <w:tcW w:w="9809" w:type="dxa"/>
            <w:tcBorders/>
            <w:vAlign w:val="center"/>
          </w:tcPr>
          <w:p>
            <w:pPr>
              <w:pStyle w:val="TableContents"/>
              <w:bidi w:val="0"/>
              <w:spacing w:before="0" w:after="283"/>
              <w:jc w:val="both"/>
              <w:rPr/>
            </w:pPr>
            <w:r>
              <w:rPr/>
              <w:t>the obligation, if any, of the Company to permit the Securities of such series to be converted into or exchanged for Common Stock of the Company or other securities or property of the Company and the terms and conditions upon which such conversion or exchange shall be effected (including, without limitation, the initial conversion price or rate, the conversion or exchange period, any adjustment of the applicable conversion or exchange price or rate and any requirements relative to the reservation of such shares for purposes of conversion or exchange);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1"/>
        <w:gridCol w:w="9727"/>
      </w:tblGrid>
      <w:tr>
        <w:trPr/>
        <w:tc>
          <w:tcPr>
            <w:tcW w:w="3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20"/>
              </w:rPr>
            </w:pPr>
            <w:r>
              <w:rPr>
                <w:sz w:val="20"/>
              </w:rPr>
              <w:t>(xxii)</w:t>
            </w:r>
          </w:p>
        </w:tc>
        <w:tc>
          <w:tcPr>
            <w:tcW w:w="9727" w:type="dxa"/>
            <w:tcBorders/>
            <w:vAlign w:val="center"/>
          </w:tcPr>
          <w:p>
            <w:pPr>
              <w:pStyle w:val="TableContents"/>
              <w:bidi w:val="0"/>
              <w:spacing w:before="0" w:after="283"/>
              <w:jc w:val="both"/>
              <w:rPr/>
            </w:pPr>
            <w:r>
              <w:rPr/>
              <w:t>if convertible or exchangeable, any applicable limitations on the ownership or transferability of the securities or property into which such Securities are convertible or exchangeable;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2"/>
        <w:gridCol w:w="9656"/>
      </w:tblGrid>
      <w:tr>
        <w:trPr/>
        <w:tc>
          <w:tcPr>
            <w:tcW w:w="3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20"/>
              </w:rPr>
            </w:pPr>
            <w:r>
              <w:rPr>
                <w:sz w:val="20"/>
              </w:rPr>
              <w:t>(xxiii)</w:t>
            </w:r>
          </w:p>
        </w:tc>
        <w:tc>
          <w:tcPr>
            <w:tcW w:w="9656" w:type="dxa"/>
            <w:tcBorders/>
            <w:vAlign w:val="center"/>
          </w:tcPr>
          <w:p>
            <w:pPr>
              <w:pStyle w:val="TableContents"/>
              <w:bidi w:val="0"/>
              <w:spacing w:before="0" w:after="283"/>
              <w:jc w:val="both"/>
              <w:rPr/>
            </w:pPr>
            <w:r>
              <w:rPr/>
              <w:t>any other terms of the series (which terms shall not be inconsistent with the provisions of this Indenture except as permitted by Section 905).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in the case of Registered Securities issued in global form, as to denomination and except as may otherwise be provided in or pursuant to such Board Resolution or in any indenture supplemental hereto. All Securities of any one series need not be issued at the same time and, unless otherwise provided, a series may be reopened, without the consent of the Holders, for issuances of additional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Company Order for authentication and delivery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Denominations.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each series shall be issuable in such denominations as shall be specified as contemplated by Section 301. With respect to Securities of any series denominated in Dollars, in the absence of any such provisions with respect to the Securities of any series, the Registered Securities of such series, other than Registered Securities issued in global form (which may be of any denomination), shall be issuable in minimum denominations of $1,000 and any integral multiple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303. Execution, Authentication, Delivery and Dating.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executed in the name and on behalf of the Company by the manual, electronic (including via “.pdf” or “.tif” or DocuSign or other electronic signature platform) or facsimile signature of its President, Chief Executive Officer or a Vice President or any future such authorized officer and may be imprinted or otherwise reproduced on the Securities.</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bearing the manual, electronic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all of the Securities of any series are not to be issued at one time and if the Board Resolution or supplemental indenture establishing such series shall so permit, such Company Order may set forth procedures for the issuance of such Securities and determining the terms of particular Securities of such series, such as interest rate or formula, maturity date, date of issuance and date from which interest shall accrue. In authenticating such Securities, and accepting the additional responsibilities under this Indenture in relation to such Securities, the Trustee shall receive, and (subject to Section 612 and TIA Sections 315(a) through 315(d)) shall be fully protected in conclusively relying upon: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304"/>
        <w:gridCol w:w="9844"/>
      </w:tblGrid>
      <w:tr>
        <w:trPr/>
        <w:tc>
          <w:tcPr>
            <w:tcW w:w="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20"/>
              </w:rPr>
            </w:pPr>
            <w:r>
              <w:rPr>
                <w:sz w:val="20"/>
              </w:rPr>
              <w:t>(i)</w:t>
            </w:r>
          </w:p>
        </w:tc>
        <w:tc>
          <w:tcPr>
            <w:tcW w:w="9844" w:type="dxa"/>
            <w:tcBorders/>
            <w:vAlign w:val="center"/>
          </w:tcPr>
          <w:p>
            <w:pPr>
              <w:pStyle w:val="TableContents"/>
              <w:bidi w:val="0"/>
              <w:spacing w:before="0" w:after="283"/>
              <w:jc w:val="both"/>
              <w:rPr/>
            </w:pPr>
            <w:r>
              <w:rPr/>
              <w:t>an Opinion of Counsel complying with Section 102 and stating that: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20"/>
              </w:rPr>
            </w:pPr>
            <w:r>
              <w:rPr>
                <w:sz w:val="20"/>
              </w:rPr>
              <w:t>(a)</w:t>
            </w:r>
          </w:p>
        </w:tc>
        <w:tc>
          <w:tcPr>
            <w:tcW w:w="9979" w:type="dxa"/>
            <w:tcBorders/>
            <w:vAlign w:val="center"/>
          </w:tcPr>
          <w:p>
            <w:pPr>
              <w:pStyle w:val="TableContents"/>
              <w:bidi w:val="0"/>
              <w:spacing w:before="0" w:after="283"/>
              <w:jc w:val="both"/>
              <w:rPr/>
            </w:pPr>
            <w:r>
              <w:rPr/>
              <w:t>the form or forms of such Securities have been, or will have been upon compliance with such procedures as may be specified therein, established in conformity with the provisions of this Indenture and that any conditions precedent to the authorization and delivery of the Securities have been satisfied;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20"/>
              </w:rPr>
            </w:pPr>
            <w:r>
              <w:rPr>
                <w:sz w:val="20"/>
              </w:rPr>
              <w:t>(b)</w:t>
            </w:r>
          </w:p>
        </w:tc>
        <w:tc>
          <w:tcPr>
            <w:tcW w:w="9952" w:type="dxa"/>
            <w:tcBorders/>
            <w:vAlign w:val="center"/>
          </w:tcPr>
          <w:p>
            <w:pPr>
              <w:pStyle w:val="TableContents"/>
              <w:bidi w:val="0"/>
              <w:spacing w:before="0" w:after="283"/>
              <w:jc w:val="both"/>
              <w:rPr/>
            </w:pPr>
            <w:r>
              <w:rPr/>
              <w:t>the terms of such Securities have been, or will have been upon compliance with such procedures as may be specified therein, established in conformity with the provisions of this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20"/>
              </w:rPr>
            </w:pPr>
            <w:r>
              <w:rPr>
                <w:sz w:val="20"/>
              </w:rPr>
              <w:t>(c)</w:t>
            </w:r>
          </w:p>
        </w:tc>
        <w:tc>
          <w:tcPr>
            <w:tcW w:w="9991" w:type="dxa"/>
            <w:tcBorders/>
            <w:vAlign w:val="center"/>
          </w:tcPr>
          <w:p>
            <w:pPr>
              <w:pStyle w:val="TableContents"/>
              <w:bidi w:val="0"/>
              <w:spacing w:before="0" w:after="283"/>
              <w:jc w:val="both"/>
              <w:rPr/>
            </w:pPr>
            <w:r>
              <w:rPr/>
              <w:t>such Securities, when completed pursuant to such procedures as may be specified therein,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binding obligations of the Company, enforceable in accordance with their terms, subject to applicable bankruptcy, insolvency, reorganization and other similar laws of general applicability relating to or affecting the enforcement of creditors’ rights generally and to general equitable principles and to such other matters as may be specified therein;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20"/>
              </w:rPr>
            </w:pPr>
            <w:r>
              <w:rPr>
                <w:sz w:val="20"/>
              </w:rPr>
              <w:t>(ii)</w:t>
            </w:r>
          </w:p>
        </w:tc>
        <w:tc>
          <w:tcPr>
            <w:tcW w:w="9955" w:type="dxa"/>
            <w:tcBorders/>
            <w:vAlign w:val="center"/>
          </w:tcPr>
          <w:p>
            <w:pPr>
              <w:pStyle w:val="TableContents"/>
              <w:bidi w:val="0"/>
              <w:spacing w:before="0" w:after="283"/>
              <w:jc w:val="both"/>
              <w:rPr/>
            </w:pPr>
            <w:r>
              <w:rPr/>
              <w:t>an Officers’ Certificate complying with Section 102 and stating that all conditions precedent provided for in this Indenture relating to the issuance of such Securities have been, or will have been upon compliance with such procedures as may be specified therein, complied with and that, to the best of the knowledge of the signers of such certificate, no Event of Default with respect to such Securities shall have occurred and be continuing.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authentication and delivery relates to a new series of Securities created by an indenture supplemental hereto, the Opinion of Counsel shall, in addition to opinions (a) through (c) described in paragraph (i) above, also state that all conditions precedent to the execution of the supplemental indenture and the authentication and delivery of the new series of Securities have been complied with and that such supplemental indenture and new series of Securities are the legal, valid and binding obligation of the Company enforceable against the Company, and any Guarantor as applicable, in accordance with their terms.</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Section 301 and of the preceding paragraph, if all the Securities of any series are not to be issued at one time, unless requested by the Trustee, it shall not be necessary to deliver an Opinion of Counsel or an Officers’ Certificate otherwise required pursuant to the preceding paragraph at the time of issuance of each Security of such series, but such order, opinion and certificate, with appropriate modifications to cover such future issuances, shall be delivered at or before the time of issuance of the first Security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required to authenticate such Securities if the issue of such Securities pursuant to this Indenture will affect the Trustee’s own rights, duties, obligations, indemnities or immunities under the Securities and this Indenture or otherwise in a manner that is not reasonably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Registered Security shall be dated the date of its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Security shall be entitled to any benefit under this Indenture or be valid or obligatory for any purpose unless there appears on such Security a certificate of authentication substantially in the form provided for herein duly executed by the Trustee by manual signature of an authorized officer,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or sold by the Company, for all purposes of this Indenture such Security shall be deemed never to have been authenticated and delivered hereunder and shall never be entitled to the benefits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304. Temporary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Pending the preparation of definitive Securities of any series, the Company may execute, and (subject to the fourth and fifth paragraphs of Section 303) upon Company Order the Trustee shall authenticate and deliver, temporary Securities that are printed, lithographed, typewritten, mimeographed or otherwise produced, in any authorized denomination, substantially of the tenor of the definitive Securities in lieu of which they are issued, in registered form, and with such appropriate insertions, omissions, substitutions and other variations as the officers of the Company executing such Securities may determine, as conclusively evidenced by their execution of such Securities. In the case of Securities of any series, such temporary Securities may be in global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the case of temporary Securities in global form (which shall be exchanged in accordance with Section 304(b) or as otherwise provided in or pursuant to a Board Resolution),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Until so exchanged, the temporary Securities of any series shall in all respects be entitled to the same benefits under this Indenture as definitive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otherwise provided as contemplated in Section 301, this Section 304(b) shall govern the exchange of temporary Securities issued in global form other than through the facilities of DTC. If any such temporary Security is issued in global form, then such temporary global Security shall, unless otherwise provided therein, be delivered to the London, England office of a depository or common depository (the “</w:t>
      </w:r>
      <w:r>
        <w:rPr>
          <w:rFonts w:ascii="Times New Roman;Times;Serif" w:hAnsi="Times New Roman;Times;Serif"/>
          <w:b w:val="false"/>
          <w:i w:val="false"/>
          <w:caps w:val="false"/>
          <w:smallCaps w:val="false"/>
          <w:sz w:val="20"/>
          <w:u w:val="single"/>
        </w:rPr>
        <w:t>Common Depositor</w:t>
      </w:r>
      <w:r>
        <w:rPr>
          <w:rFonts w:ascii="Times New Roman;Times;Serif" w:hAnsi="Times New Roman;Times;Serif"/>
          <w:b w:val="false"/>
          <w:i w:val="false"/>
          <w:caps w:val="false"/>
          <w:smallCaps w:val="false"/>
          <w:sz w:val="20"/>
        </w:rPr>
        <w:t>y”), for the benefit of Euroclear and Clearstream.</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unnecessary delay but in any event not later than the date specified in, or determined pursuant to the terms of, any such temporary global Security (the “</w:t>
      </w:r>
      <w:r>
        <w:rPr>
          <w:rFonts w:ascii="Times New Roman;Times;Serif" w:hAnsi="Times New Roman;Times;Serif"/>
          <w:b w:val="false"/>
          <w:i w:val="false"/>
          <w:caps w:val="false"/>
          <w:smallCaps w:val="false"/>
          <w:sz w:val="20"/>
          <w:u w:val="single"/>
        </w:rPr>
        <w:t>Exchan</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e Date</w:t>
      </w:r>
      <w:r>
        <w:rPr>
          <w:rFonts w:ascii="Times New Roman;Times;Serif" w:hAnsi="Times New Roman;Times;Serif"/>
          <w:b w:val="false"/>
          <w:i w:val="false"/>
          <w:caps w:val="false"/>
          <w:smallCaps w:val="false"/>
          <w:sz w:val="20"/>
        </w:rPr>
        <w:t xml:space="preserve">”), the Company shall deliver to the Trustee definitive Securities, in an aggregate principal amount equal to the principal amount of such temporary global Security, executed by the Company. On or after the Exchange Date, such temporary global Security shall be surrendered by the Common Depository to the Trustee, as the Company’s agent for such purpose, to be exchanged, in whole or from time to time in part, for definitive Securities without charge, and the Trustee shall authenticate and deliver, in exchange for each portion of such temporary global Security, an equal aggregate principal amount of definitive Securities of or within the same series of authorized denominations and of like tenor as the portion of such temporary global Security to be exchanged. The definitive Securities to be delivered in exchange for any such temporary global Security shall be in registered form or permanent global registered form, or any combination thereof, as specified as contemplated by Section 301, and, if any combination thereof is so specified, as requested by the beneficial owner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unless otherwise specified in such temporary global Security, upon such presentation by the Common Depository, such temporary global Security is accompanied by a certificate dated the Exchange Date or a subsequent date and signed by Euroclear as to the portion of such temporary global Security, if any, held for its account then to be exchanged and a certificate dated the Exchange Date or a subsequent date and signed by Euroclear or Clearstream as to the portion of such temporary global Security, if any, held for its account then to be exchanged, each in the form set forth in Exhibit A to this Indenture or in such other form as may be established pursuant to Section 301.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Exhibit A to this Indenture (or in such other form as may be established pursuant to Section 301), dated no earlier than 15 days prior to the Exchange Date, copies of which certificate shall be available from the offices of Euroclear or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Clearstream.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Euroclear or Clearstream on such Interest Payment Date upon delivery by Euroclear or Clearstream to the Trustee of a certificate or certificates in the form set forth in Exhibit A to this Indenture (or in such other forms as may be established pursuant to Section 301), for credit without further interest on or after such Interest Payment Date to the respective accounts of Persons who are the beneficial owners of such temporary global Security on such Interest Payment Date and who have each delivered to Euroclear or Clearstream, as the case may be, a certificate dated no earlier than 15 days prior to the Interest Payment Date occurring prior to such Exchange Date in the form set forth as Exhibit A to this Indenture (or in such other forms as may be established pursuant to Section 301). Notwithstanding anything to the contrary herein contained, the certifications made pursuant to this paragraph shall satisfy the certification requirements of the preceding two paragraphs of this Section 304(b) and of the third paragraph of Section 303 of this Indenture and the interests of the Persons who are the beneficial owners of the temporary global Security with respect to which 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paragraph, no payments of principal or interest owing with respect to a beneficial interest in a temporary global Security will be made unless and until such interest in such temporary global Security shall have been exchanged for an interest in a definitive Security. Any interest so received by Euroclear or Clearstream and not paid as herein provided shall be returned to the Trustee prior to the expiration of two years after such Interest Payment Date in order to be repaid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305. Registration, Registration of Transfer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cause to be kept at the Corporate Trust Office or in any office or agency of the Company in a Place of Payment a register for each series of Securities (the registers maintained in such office or in any such office or agency of the Company in a Place of Payment being herein sometimes referred to collectively as the “</w:t>
      </w:r>
      <w:r>
        <w:rPr>
          <w:rFonts w:ascii="Times New Roman;Times;Serif" w:hAnsi="Times New Roman;Times;Serif"/>
          <w:b w:val="false"/>
          <w:i w:val="false"/>
          <w:caps w:val="false"/>
          <w:smallCaps w:val="false"/>
          <w:sz w:val="20"/>
          <w:u w:val="single"/>
        </w:rPr>
        <w:t>Securit</w:t>
      </w: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Re</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ister</w:t>
      </w:r>
      <w:r>
        <w:rPr>
          <w:rFonts w:ascii="Times New Roman;Times;Serif" w:hAnsi="Times New Roman;Times;Serif"/>
          <w:b w:val="false"/>
          <w:i w:val="false"/>
          <w:caps w:val="false"/>
          <w:smallCaps w:val="false"/>
          <w:sz w:val="20"/>
        </w:rPr>
        <w:t>”) in which, subject to such reasonable regulations as it or the Security Registrar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In the event that the Trustee shall cease to be Security Registrar, it shall have the right to examine the Security Register at all reasonable times and to require that a copy of the Security Register in written form be delivered to it from time to time as reasonably requested. Subject to the provisions of this Section 305, 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this Section 305, 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such Registered Securities are so surrendered for exchange, the Company shall execute, and the Trustee shall authenticate and deliver, the Registered Securities that the Holder making the exchange is entitled to receive.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except as otherwise specified as contemplated by Section 301, any permanent global Security shall be exchangeable only as provided in this paragraph. If the depository for any permanent global Security is DTC, then, unless the terms of such global Security expressly permit such global Security to be exchanged in whole or in part for definitive Securities, a global Security may be transferred, in whole but not in part, only to a nominee of DTC, or by a nominee of DTC to DTC, or to a successor to DTC for such global Security selected or approved by the Company or to a nominee of such successor to DTC. If at any time DTC notifies the Company that it is unwilling or unable to continue as depository for the applicable global Security or Securities or if at any time DTC ceases to be a clearing agency registered under the Exchange Act if so required by applicable law or regulation, the Company shall appoint a successor depository with respect to such global Security or Securities. If (x) a successor depository for such global Security or Securities is not appointed by the Company within 90 days after the Company receives such notice or becomes aware of such unwillingness, inability or ineligibility, (y) an Event of Default has occurred and is continuing and the beneficial owners representing a majority in principal amount of the applicable series of Securities represented by such global Security or Securities advise DTC to cease acting as depository for such global Security or Securities or (z) the Company, in its sole discretion, determines at any time that all Outstanding Securities (but not less than all) of any series issued or issuable in the form of one or more global Securities shall no longer be represented by such global Security or Securities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the Company may not make such determination during the 40-day restricted period provided by Regulation S under the Securities Act or during any other similar period during which the Securities must be held in global form as may be required by the Securities Act), then the Company shall execute, and the Trustee shall authenticate and deliver definitive Securities of like series, rank, tenor and terms in definitive form in an aggregate principal amount equal to the principal amount of such global Security or Securities. If any beneficial owner of an interest in a permanent global Security is otherwise entitled to exchange such an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execute, and the Trustee shall authenticate and deliver definitive Securities in aggregate principal amount equal to the principal amount of such beneficial owner’s interest in such permanent global Security. On or after the earliest date on which such interests may be so exchanged, such permanent global Security shall be surrendered for exchange by DTC or such other depository as shall be specified in the Company Order with respect thereto to the Trustee, as the Company’s agent for such purpose;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exchanges may occur during a period beginning at the opening of business 15 days before any selection of Securities to be redeemed and ending on the relevant Redemption Date if the Security for which exchange is requested may be among those selected for redemption.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Registered Security presented or surrendered for registration of transfer or for exchange or redemption shall (if so required by the Company or the Security Registrar) be duly endorsed, or be accompanied by a written instrument of transfer in form satisfactory to the Security Registrar, duly executed by the Holder thereof or his attorney duly authorized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Sections 304, 906 or 1107 not involving any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Trustee, as applicable,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if such Securities are issuable only as Registered Securities, the day of the mailing of the relevant notice of redemption, or (ii) to register the transfer of or exchange any Registered Security so selected for redemption in whole or in part, except, in the case of any Registered Security to be redeemed in part, the portion thereof not to be redeemed, or (iii) to issue or to register the transfer or exchange of any Security that has been surrendered for repayment, except the portion, if any, of such Security not to be so repaid.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neither the Trustee nor the Security Registrar shall be responsible for ascertaining whether any transfer complies with the registration provisions or exemptions from the Securities Act or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306. Mutilated, Destroyed, Lost and Stolen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mutilated Security is surrendered to the Trustee or the Company, together with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appertaining to the surrendered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shall be delivered to the Company and to the Trustee (i) evidence to their satisfaction of the destruction, loss or theft of any Security, and (ii) such security or indemnity as may be required by them to save each of them and any agent of either of them harmless, then, in the absence of actual notice to the Company or the Trustee that such Security has been acquired by a bona fide purchaser, the Company shall execute and upon its request the Trustee shall authenticate and deliver, in lieu of any such destroyed, lost or stolen Security, a new Security of the same series and principal amount, containing identical terms and provisions and bearing a number not contemporaneously outstanding, appertaining to such destroyed, lost or stolen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the previous two paragraphs, in case any such mutilated, destroyed, lost or stolen Security has become or is about to become due and payable or is otherwise redeemed in accordance with Article Eleven, the Company in its discretion may, instead of issuing a new Security, pay or redeem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are exclusive and shall preclude (to the extent lawful) all other rights and remedies with respect to the replacement or payment of mutilated, destroyed, lost or stolen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307. Payment of Interest; Interest Rights Preserved.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specified with respect to a series of Securities in accordance with the provisions of Section 301, interest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at the office or agency of the Company maintained for such purpose pursuant to Section 1002;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each installment of interest on any Registered Security may at the Company’s option be paid by (i) mailing a check for such interest, payable to or upon the written order of the Person entitled thereto pursuant to Section 308, to the address of such Person as it appears on the Security Register or (ii) transfer to an account maintained by the payee located inside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as contemplated by Section 301, every permanent global Security will provide that interest, if any, payable on any Interest Payment Date will be paid to DTC, Euroclear and/or Clearstream, as the case may be, with respect to that portion of such permanent global Security held for its account by DTC, Euroclear or Clearstream, as the case may be, for the purpose of permitting such party to credit the interest received by it in respect of such permanent global Security to the accounts of the beneficial owners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w:t>
      </w:r>
      <w:r>
        <w:rPr>
          <w:rFonts w:ascii="Times New Roman;Times;Serif" w:hAnsi="Times New Roman;Times;Serif"/>
          <w:b w:val="false"/>
          <w:i w:val="false"/>
          <w:caps w:val="false"/>
          <w:smallCaps w:val="false"/>
          <w:sz w:val="20"/>
          <w:u w:val="single"/>
        </w:rPr>
        <w:t>Defaulted Interest</w:t>
      </w:r>
      <w:r>
        <w:rPr>
          <w:rFonts w:ascii="Times New Roman;Times;Serif" w:hAnsi="Times New Roman;Times;Serif"/>
          <w:b w:val="false"/>
          <w:i w:val="false"/>
          <w:caps w:val="false"/>
          <w:smallCaps w:val="false"/>
          <w:sz w:val="20"/>
        </w:rPr>
        <w:t>”) shall forthwith cease to be payable to the registered Holder thereof on the relevant Regular Record Date by virtue of having been such Holder, and such Defaulted Interest may be paid by the Company, at its election in each case, as provided in clause (i) or (ii)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2"/>
        <w:gridCol w:w="10026"/>
      </w:tblGrid>
      <w:tr>
        <w:trPr/>
        <w:tc>
          <w:tcPr>
            <w:tcW w:w="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20"/>
              </w:rPr>
            </w:pPr>
            <w:r>
              <w:rPr>
                <w:sz w:val="20"/>
              </w:rPr>
              <w:t>(i)</w:t>
            </w:r>
          </w:p>
        </w:tc>
        <w:tc>
          <w:tcPr>
            <w:tcW w:w="10026" w:type="dxa"/>
            <w:tcBorders/>
            <w:vAlign w:val="center"/>
          </w:tcPr>
          <w:p>
            <w:pPr>
              <w:pStyle w:val="TableContents"/>
              <w:bidi w:val="0"/>
              <w:spacing w:before="0" w:after="283"/>
              <w:jc w:val="both"/>
              <w:rPr/>
            </w:pPr>
            <w:r>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or currencies, currency unit or units or composite currency or currencies in which the Securities of such series are payable (except as otherwise specified pursuant to Section 301 for the Securities of such series) equal to the aggregate amount proposed to be paid in respect of such Defaulted Interest and such money when deposited to be held in trust for the benefit of the Persons entitled to such Defaulted Interest as in this clause provided. Thereupon the Company shall fix a special record date (herein called a “</w:t>
            </w:r>
            <w:r>
              <w:rPr>
                <w:u w:val="single"/>
              </w:rPr>
              <w:t>Special Record Date</w:t>
            </w:r>
            <w:r>
              <w:rPr/>
              <w:t>”) for the payment of such Defaulted Interest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in the name and at the expense of the Company, the Trustee shall cause notice of the proposed payment of such Defaulted Interest and the Special Record Date therefor to be mailed, first-class postage prepaid (or to the extent permitted by applicable procedures or regulations, electronically delivered), to each Holder of Registered Securities of such series at such Holder’s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(ii).</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20"/>
              </w:rPr>
            </w:pPr>
            <w:r>
              <w:rPr>
                <w:sz w:val="20"/>
              </w:rPr>
              <w:t>(ii)</w:t>
            </w:r>
          </w:p>
        </w:tc>
        <w:tc>
          <w:tcPr>
            <w:tcW w:w="9956" w:type="dxa"/>
            <w:tcBorders/>
            <w:vAlign w:val="center"/>
          </w:tcPr>
          <w:p>
            <w:pPr>
              <w:pStyle w:val="TableContents"/>
              <w:bidi w:val="0"/>
              <w:spacing w:before="0" w:after="283"/>
              <w:jc w:val="both"/>
              <w:rPr/>
            </w:pPr>
            <w:r>
              <w:rPr/>
              <w:t>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written notice given by the Company to the Trustee of the proposed payment pursuant to this clause, such manner of payment shall be deemed practicable by the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provisions of this Section and Section 305, each Security delivered under this Indenture upon registration of transfer of or in exchange for or in lieu of any other Security shall carry the rights to interest accrued and unpaid, and to accrue, which were carried by such other Security. Subject to the provisions of Section 1302 and except as otherwise specified with respect to a series of Securities in accordance with the provisions of Section 301, in the case of any Security that is converted or exchanged after any Regular Record Date and on or prior to the next succeeding Interest Payment Date (other than any Security, the principal of (or premium, if any, on) which shall become due and payable, whether at a Stated Maturity or by declaration of acceleration, call for redemption, or otherwise, prior to such Interest Payment Date), interest whose Stated Maturity is on such Interest Payment Date shall be payable on such Interest Payment Date notwithstanding such conversion or exchange, and such interest (whether or not punctually paid or duly provided for) shall be paid to the Person in whose name that Security (or one or more Predecessor Securities) is registered at the close of business on such Regular Record Date. Except as otherwise expressly provided in the immediately preceding sentence, in the case of any Security which is converted or exchanged, interest whose Stated Maturity is after the date of conversion or exchange of such Security shall not be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any interest which is paid prior to the expiration of the 30 day period set forth in Section 501(i) shall be paid to Holders as of the Regular Record Date for which interest has not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308. Persons Deemed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a Registered Security for registration of transfer, the Company, the Trustee and any agent of the Company or the Trustee may treat the Person in whose name such Registered Security is registered as the owner of such Security for the purpose of receiving payment of principal of (and premium or Make-Whole Amount, if any), and (subject to Sections 305 and 307) interest on, such Registered Security and for all other purposes whatsoever, whether or not such Registered Security be overdue, and neither the Company, the Trustee nor any agent of the Company or the Trustee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 the Trustee, any Paying Agent or the Security Registrar will have any responsibility or liability for any aspect of the records relating to or payments made on account of beneficial ownership interests of a Security in global form or for maintaining, supervising or reviewing any records relating to such beneficial ownership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with respect to any global Security, nothing herein shall prevent the Company, the Trustee, or any agent of the Company or the Trustee, from giving effect to any written certification, proxy or other authorization furnished by any depository, as a Holder, with respect to such global Security or impair, as between such depository and owners of beneficial interests in such global Security, the operation of customary practices governing the exercise of the rights of such depository (or its nominee) as Holder of such global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309.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surrendered for payment, redemption, repayment, registration of transfer or exchange or for credit against any sinking fund payment shall, if surrendered to any Person other than the Trustee, be delivered to the Trustee, and any such Securities and Securities surrendered directly to the Trustee for any such purpose shall, upon receipt of a Company Request, be promptly canceled by it. The Company may at any time deliver to the Trustee for cancellation any Securities previously authenticated and delivered hereunder that the Company may have acquired in any manner whatsoever, and may deliver to the Trustee (or to any other Person for delivery to the Trustee) for cancellation any Securities previously authenticated hereunder that the Company has not issued and sold, and all Securities so delivered shall, upon receipt of a Company Request, be promptly canceled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canceled as provided in this Section, except as expressly permitted by this Indenture. Canceled Securities held by the Trustee shall be canceled by the Trustee in accordance with its customary procedures.</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310. Computation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specified as contemplated by Section 301 with respect to Securities of any series, interest on the Securities of each series shall be computed on the basis of a 360-day year consisting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311. CUSIPs.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issuing the Securities may use CUSIP numbers (or any other identifying control number, if then generally in use) and, if so, the Trustee shall use CUSIP numbers in notices, including notices of redemption as a convenience to Holders, provided that any such notice may state that no representation is made as to the correctness of such numbers either as printed on the Securities or as contained in such notice, and any such notice shall not be affected by any defect in or omission of such numbers. The Company will promptly notify the Trustee of any change in the “CUSIP”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FOUR</w:t>
        <w:b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401. Satisfaction and Discharge of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cease to be of further effect with respect to any series of Securities specified in such Company Request (except as to any surviving rights of registration of transfer or exchange of Securities of such series herein expressly provided for and any right to receive Additional Amounts, as provided in Section 1008), and the Trustee, upon receipt of a Company Order, and at the expense of the Company, shall execute proper instruments acknowledging satisfaction and discharge of this Indenture as to such series when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5"/>
        <w:gridCol w:w="2558"/>
        <w:gridCol w:w="7162"/>
      </w:tblGrid>
      <w:tr>
        <w:trPr/>
        <w:tc>
          <w:tcPr>
            <w:tcW w:w="485"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20"/>
              </w:rPr>
            </w:pPr>
            <w:r>
              <w:rPr>
                <w:sz w:val="20"/>
              </w:rPr>
              <w:t>(i)</w:t>
            </w:r>
          </w:p>
        </w:tc>
        <w:tc>
          <w:tcPr>
            <w:tcW w:w="7162" w:type="dxa"/>
            <w:tcBorders/>
            <w:vAlign w:val="center"/>
          </w:tcPr>
          <w:p>
            <w:pPr>
              <w:pStyle w:val="TableContents"/>
              <w:bidi w:val="0"/>
              <w:spacing w:before="0" w:after="283"/>
              <w:jc w:val="both"/>
              <w:rPr/>
            </w:pPr>
            <w:r>
              <w:rPr/>
              <w:t>either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20"/>
              </w:rPr>
            </w:pPr>
            <w:r>
              <w:rPr>
                <w:sz w:val="20"/>
              </w:rPr>
              <w:t>(a)</w:t>
            </w:r>
          </w:p>
        </w:tc>
        <w:tc>
          <w:tcPr>
            <w:tcW w:w="9987" w:type="dxa"/>
            <w:tcBorders/>
            <w:vAlign w:val="center"/>
          </w:tcPr>
          <w:p>
            <w:pPr>
              <w:pStyle w:val="TableContents"/>
              <w:bidi w:val="0"/>
              <w:spacing w:before="0" w:after="283"/>
              <w:jc w:val="both"/>
              <w:rPr/>
            </w:pPr>
            <w:r>
              <w:rPr/>
              <w:t>all Securities of such series theretofore authenticated and delivered (other than (x) Securities of such series that have been destroyed, lost or stolen and that have been replaced or paid as provided in Section 306, and (y) Securities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877"/>
        <w:gridCol w:w="9193"/>
      </w:tblGrid>
      <w:tr>
        <w:trPr/>
        <w:tc>
          <w:tcPr>
            <w:tcW w:w="13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20"/>
              </w:rPr>
            </w:pPr>
            <w:r>
              <w:rPr>
                <w:sz w:val="20"/>
              </w:rPr>
              <w:t>(b)</w:t>
            </w:r>
          </w:p>
        </w:tc>
        <w:tc>
          <w:tcPr>
            <w:tcW w:w="9193" w:type="dxa"/>
            <w:tcBorders/>
            <w:vAlign w:val="center"/>
          </w:tcPr>
          <w:p>
            <w:pPr>
              <w:pStyle w:val="TableContents"/>
              <w:bidi w:val="0"/>
              <w:spacing w:before="0" w:after="283"/>
              <w:jc w:val="both"/>
              <w:rPr/>
            </w:pPr>
            <w:r>
              <w:rPr/>
              <w:t>all Securities of such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799"/>
        <w:gridCol w:w="9296"/>
      </w:tblGrid>
      <w:tr>
        <w:trPr/>
        <w:tc>
          <w:tcPr>
            <w:tcW w:w="11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20"/>
              </w:rPr>
            </w:pPr>
            <w:r>
              <w:rPr>
                <w:sz w:val="20"/>
              </w:rPr>
              <w:t>(A)</w:t>
            </w:r>
          </w:p>
        </w:tc>
        <w:tc>
          <w:tcPr>
            <w:tcW w:w="9296" w:type="dxa"/>
            <w:tcBorders/>
            <w:vAlign w:val="center"/>
          </w:tcPr>
          <w:p>
            <w:pPr>
              <w:pStyle w:val="TableContents"/>
              <w:bidi w:val="0"/>
              <w:spacing w:before="0" w:after="283"/>
              <w:jc w:val="both"/>
              <w:rPr/>
            </w:pPr>
            <w:r>
              <w:rPr/>
              <w:t>have become due and payable,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391"/>
        <w:gridCol w:w="9760"/>
      </w:tblGrid>
      <w:tr>
        <w:trPr/>
        <w:tc>
          <w:tcPr>
            <w:tcW w:w="5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20"/>
              </w:rPr>
            </w:pPr>
            <w:r>
              <w:rPr>
                <w:sz w:val="20"/>
              </w:rPr>
              <w:t>(B)</w:t>
            </w:r>
          </w:p>
        </w:tc>
        <w:tc>
          <w:tcPr>
            <w:tcW w:w="9760" w:type="dxa"/>
            <w:tcBorders/>
            <w:vAlign w:val="center"/>
          </w:tcPr>
          <w:p>
            <w:pPr>
              <w:pStyle w:val="TableContents"/>
              <w:bidi w:val="0"/>
              <w:spacing w:before="0" w:after="283"/>
              <w:jc w:val="both"/>
              <w:rPr/>
            </w:pPr>
            <w:r>
              <w:rPr/>
              <w:t>will become due and payable at their Stated Maturity within one year,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20"/>
              </w:rPr>
            </w:pPr>
            <w:r>
              <w:rPr>
                <w:sz w:val="20"/>
              </w:rPr>
              <w:t>(C)</w:t>
            </w:r>
          </w:p>
        </w:tc>
        <w:tc>
          <w:tcPr>
            <w:tcW w:w="9929" w:type="dxa"/>
            <w:tcBorders/>
            <w:vAlign w:val="center"/>
          </w:tcPr>
          <w:p>
            <w:pPr>
              <w:pStyle w:val="TableContents"/>
              <w:bidi w:val="0"/>
              <w:spacing w:before="0" w:after="283"/>
              <w:jc w:val="both"/>
              <w:rPr/>
            </w:pPr>
            <w:r>
              <w:rPr/>
              <w:t>if redeemable at the option of the Company, are to be called for redemption within one year under arrangements satisfactory to the Trustee for the giving of notice of redemption by the Trustee in the name, and at the expense, of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Company, in the case of (A), (B) or (C) above, has irrevocably deposited or caused to be deposited with the Trustee as trust funds in trust for the purpose an amount in the currency or currencies, currency unit or units or composite currency or currencies in which the Securities of such series are payable, sufficient to pay and discharge the entire indebtedness on such Securities (as determined by the Company) not theretofore delivered to the Trustee for cancellation, for principal (and premium or Make-Whole Amount, if any) and interest, and any Additional Amounts with respect thereto, to the date of such deposit (in the case of Securities that have become due and payable) or the Stated Maturity or Redemption Date, as the case may be;</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72"/>
        <w:gridCol w:w="9894"/>
      </w:tblGrid>
      <w:tr>
        <w:trPr/>
        <w:tc>
          <w:tcPr>
            <w:tcW w:w="3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20"/>
              </w:rPr>
            </w:pPr>
            <w:r>
              <w:rPr>
                <w:sz w:val="20"/>
              </w:rPr>
              <w:t>(ii)</w:t>
            </w:r>
          </w:p>
        </w:tc>
        <w:tc>
          <w:tcPr>
            <w:tcW w:w="9894" w:type="dxa"/>
            <w:tcBorders/>
            <w:vAlign w:val="center"/>
          </w:tcPr>
          <w:p>
            <w:pPr>
              <w:pStyle w:val="TableContents"/>
              <w:bidi w:val="0"/>
              <w:spacing w:before="0" w:after="283"/>
              <w:jc w:val="both"/>
              <w:rPr/>
            </w:pPr>
            <w:r>
              <w:rPr/>
              <w:t>The Company has paid or caused to be paid all other sums payable hereunder by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20"/>
              </w:rPr>
            </w:pPr>
            <w:r>
              <w:rPr>
                <w:sz w:val="20"/>
              </w:rPr>
              <w:t>(iii)</w:t>
            </w:r>
          </w:p>
        </w:tc>
        <w:tc>
          <w:tcPr>
            <w:tcW w:w="9886" w:type="dxa"/>
            <w:tcBorders/>
            <w:vAlign w:val="center"/>
          </w:tcPr>
          <w:p>
            <w:pPr>
              <w:pStyle w:val="TableContents"/>
              <w:bidi w:val="0"/>
              <w:spacing w:before="0" w:after="283"/>
              <w:jc w:val="both"/>
              <w:rPr/>
            </w:pPr>
            <w:r>
              <w:rPr/>
              <w:t>The Company has delivered to the Trustee an Officers’ Certificate and an Opinion of Counsel, each stating that all conditions precedent herein provided for relating to the satisfaction and discharge of this Indenture as to such series have been complied 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Indenture, the obligations of the Company to the Trustee and any predecessor Trustee under Section 606, the obligations of the Company to any Authenticating Agent under Section 611 and, if money shall have been deposited with and held by the Trustee pursuant to subclause (b) of clause (i) of this Section, the obligations of the Trustee under Section 402 and the last paragraph of Section 1003, shall survive.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there are Securities of two or more series Outstanding hereunder, the Trustee shall be required to execute an instrument acknowledging satisfaction and discharge of this Indenture only if requested to do so with respect to Securities of a particular series as to which it is Trustee and if the other conditions thereto are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402. Application of Trust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premium or Make-Whole Amount, if any), and any interest and Additional Amounts for whose payment such money has been deposited with or received by the Trustee, but such money need not be segregated from other funds except to the extent required by law. Money deposited pursuant to Section 401 not in violation of this Indenture shall not be subject to claims of holders of Senior Debt under Article Fifteen.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FIVE</w:t>
        <w:br/>
        <w:t>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501.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modifications, additions or deletions relating to any series of Securities as contemplated pursuant to Section 301, “Event of Default,”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20"/>
              </w:rPr>
            </w:pPr>
            <w:r>
              <w:rPr>
                <w:sz w:val="20"/>
              </w:rPr>
              <w:t>(i)</w:t>
            </w:r>
          </w:p>
        </w:tc>
        <w:tc>
          <w:tcPr>
            <w:tcW w:w="10006" w:type="dxa"/>
            <w:tcBorders/>
            <w:vAlign w:val="center"/>
          </w:tcPr>
          <w:p>
            <w:pPr>
              <w:pStyle w:val="TableContents"/>
              <w:bidi w:val="0"/>
              <w:spacing w:before="0" w:after="283"/>
              <w:jc w:val="both"/>
              <w:rPr/>
            </w:pPr>
            <w:r>
              <w:rPr/>
              <w:t>default in the payment of any interest upon or any Additional Amounts payable in respect of any Security of or within that series, when such interest or Additional Amounts become due and payable, and continuance of such default for a period of 30 days;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20"/>
              </w:rPr>
            </w:pPr>
            <w:r>
              <w:rPr>
                <w:sz w:val="20"/>
              </w:rPr>
              <w:t>(ii)</w:t>
            </w:r>
          </w:p>
        </w:tc>
        <w:tc>
          <w:tcPr>
            <w:tcW w:w="9933" w:type="dxa"/>
            <w:tcBorders/>
            <w:vAlign w:val="center"/>
          </w:tcPr>
          <w:p>
            <w:pPr>
              <w:pStyle w:val="TableContents"/>
              <w:bidi w:val="0"/>
              <w:spacing w:before="0" w:after="283"/>
              <w:jc w:val="both"/>
              <w:rPr/>
            </w:pPr>
            <w:r>
              <w:rPr/>
              <w:t>default in the payment of the principal of (or premium or Make-Whole Amount, if any, on) any Security of that series when it becomes due and payable at its Maturity;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3"/>
        <w:gridCol w:w="9875"/>
      </w:tblGrid>
      <w:tr>
        <w:trPr/>
        <w:tc>
          <w:tcPr>
            <w:tcW w:w="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20"/>
              </w:rPr>
            </w:pPr>
            <w:r>
              <w:rPr>
                <w:sz w:val="20"/>
              </w:rPr>
              <w:t>(iii)</w:t>
            </w:r>
          </w:p>
        </w:tc>
        <w:tc>
          <w:tcPr>
            <w:tcW w:w="9875" w:type="dxa"/>
            <w:tcBorders/>
            <w:vAlign w:val="center"/>
          </w:tcPr>
          <w:p>
            <w:pPr>
              <w:pStyle w:val="TableContents"/>
              <w:bidi w:val="0"/>
              <w:spacing w:before="0" w:after="283"/>
              <w:jc w:val="both"/>
              <w:rPr/>
            </w:pPr>
            <w:r>
              <w:rPr/>
              <w:t>default in the deposit of any sinking fund payment, when and as due by the terms of any Security of that series, and the continuance of such default for a period of five days; or</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20"/>
              </w:rPr>
            </w:pPr>
            <w:r>
              <w:rPr>
                <w:sz w:val="20"/>
              </w:rPr>
              <w:t>(iv)</w:t>
            </w:r>
          </w:p>
        </w:tc>
        <w:tc>
          <w:tcPr>
            <w:tcW w:w="9917" w:type="dxa"/>
            <w:tcBorders/>
            <w:vAlign w:val="center"/>
          </w:tcPr>
          <w:p>
            <w:pPr>
              <w:pStyle w:val="TableContents"/>
              <w:bidi w:val="0"/>
              <w:spacing w:before="0" w:after="283"/>
              <w:jc w:val="both"/>
              <w:rPr/>
            </w:pPr>
            <w:r>
              <w:rPr/>
              <w:t>default in the performance, or breach, of any covenant or warranty of the Company in this Indenture with respect to any Security of that series (other than (a) a covenant or agreement included in this Indenture solely for the benefit of a series of Securities other than such series or (b) a covenant or warranty a default in whose performance or whose breach is elsewhere in this Section specifically dealt with),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347"/>
        <w:gridCol w:w="9805"/>
      </w:tblGrid>
      <w:tr>
        <w:trPr/>
        <w:tc>
          <w:tcPr>
            <w:tcW w:w="5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20"/>
              </w:rPr>
            </w:pPr>
            <w:r>
              <w:rPr>
                <w:sz w:val="20"/>
              </w:rPr>
              <w:t>(v)</w:t>
            </w:r>
          </w:p>
        </w:tc>
        <w:tc>
          <w:tcPr>
            <w:tcW w:w="9805" w:type="dxa"/>
            <w:tcBorders/>
            <w:vAlign w:val="center"/>
          </w:tcPr>
          <w:p>
            <w:pPr>
              <w:pStyle w:val="TableContents"/>
              <w:bidi w:val="0"/>
              <w:spacing w:before="0" w:after="283"/>
              <w:jc w:val="both"/>
              <w:rPr/>
            </w:pPr>
            <w:r>
              <w:rPr/>
              <w:t>the Company pursuant to or within the meaning of any Bankruptcy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766"/>
        <w:gridCol w:w="9313"/>
      </w:tblGrid>
      <w:tr>
        <w:trPr/>
        <w:tc>
          <w:tcPr>
            <w:tcW w:w="1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20"/>
              </w:rPr>
            </w:pPr>
            <w:r>
              <w:rPr>
                <w:sz w:val="20"/>
              </w:rPr>
              <w:t>(a)</w:t>
            </w:r>
          </w:p>
        </w:tc>
        <w:tc>
          <w:tcPr>
            <w:tcW w:w="9313" w:type="dxa"/>
            <w:tcBorders/>
            <w:vAlign w:val="center"/>
          </w:tcPr>
          <w:p>
            <w:pPr>
              <w:pStyle w:val="TableContents"/>
              <w:bidi w:val="0"/>
              <w:spacing w:before="0" w:after="283"/>
              <w:jc w:val="both"/>
              <w:rPr/>
            </w:pPr>
            <w:r>
              <w:rPr/>
              <w:t>commences a voluntary case,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43"/>
        <w:gridCol w:w="9810"/>
      </w:tblGrid>
      <w:tr>
        <w:trPr/>
        <w:tc>
          <w:tcPr>
            <w:tcW w:w="5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20"/>
              </w:rPr>
            </w:pPr>
            <w:r>
              <w:rPr>
                <w:sz w:val="20"/>
              </w:rPr>
              <w:t>(b)</w:t>
            </w:r>
          </w:p>
        </w:tc>
        <w:tc>
          <w:tcPr>
            <w:tcW w:w="9810" w:type="dxa"/>
            <w:tcBorders/>
            <w:vAlign w:val="center"/>
          </w:tcPr>
          <w:p>
            <w:pPr>
              <w:pStyle w:val="TableContents"/>
              <w:bidi w:val="0"/>
              <w:spacing w:before="0" w:after="283"/>
              <w:jc w:val="both"/>
              <w:rPr/>
            </w:pPr>
            <w:r>
              <w:rPr/>
              <w:t>consents to the entry of an order for relief against it in an involuntary case,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57"/>
        <w:gridCol w:w="9906"/>
      </w:tblGrid>
      <w:tr>
        <w:trPr/>
        <w:tc>
          <w:tcPr>
            <w:tcW w:w="4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20"/>
              </w:rPr>
            </w:pPr>
            <w:r>
              <w:rPr>
                <w:sz w:val="20"/>
              </w:rPr>
              <w:t>(c)</w:t>
            </w:r>
          </w:p>
        </w:tc>
        <w:tc>
          <w:tcPr>
            <w:tcW w:w="9906" w:type="dxa"/>
            <w:tcBorders/>
            <w:vAlign w:val="center"/>
          </w:tcPr>
          <w:p>
            <w:pPr>
              <w:pStyle w:val="TableContents"/>
              <w:bidi w:val="0"/>
              <w:spacing w:before="0" w:after="283"/>
              <w:jc w:val="both"/>
              <w:rPr/>
            </w:pPr>
            <w:r>
              <w:rPr/>
              <w:t>consents to the appointment of a Custodian of it or for all or substantially all of its property,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414"/>
        <w:gridCol w:w="9727"/>
      </w:tblGrid>
      <w:tr>
        <w:trPr/>
        <w:tc>
          <w:tcPr>
            <w:tcW w:w="6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20"/>
              </w:rPr>
            </w:pPr>
            <w:r>
              <w:rPr>
                <w:sz w:val="20"/>
              </w:rPr>
              <w:t>(d)</w:t>
            </w:r>
          </w:p>
        </w:tc>
        <w:tc>
          <w:tcPr>
            <w:tcW w:w="9727" w:type="dxa"/>
            <w:tcBorders/>
            <w:vAlign w:val="center"/>
          </w:tcPr>
          <w:p>
            <w:pPr>
              <w:pStyle w:val="TableContents"/>
              <w:bidi w:val="0"/>
              <w:spacing w:before="0" w:after="283"/>
              <w:jc w:val="both"/>
              <w:rPr/>
            </w:pPr>
            <w:r>
              <w:rPr/>
              <w:t>makes a general assignment for the benefit of its creditors;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48"/>
        <w:gridCol w:w="9814"/>
      </w:tblGrid>
      <w:tr>
        <w:trPr/>
        <w:tc>
          <w:tcPr>
            <w:tcW w:w="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20"/>
              </w:rPr>
            </w:pPr>
            <w:r>
              <w:rPr>
                <w:sz w:val="20"/>
              </w:rPr>
              <w:t>(vi)</w:t>
            </w:r>
          </w:p>
        </w:tc>
        <w:tc>
          <w:tcPr>
            <w:tcW w:w="9814" w:type="dxa"/>
            <w:tcBorders/>
            <w:vAlign w:val="center"/>
          </w:tcPr>
          <w:p>
            <w:pPr>
              <w:pStyle w:val="TableContents"/>
              <w:bidi w:val="0"/>
              <w:spacing w:before="0" w:after="283"/>
              <w:jc w:val="both"/>
              <w:rPr/>
            </w:pPr>
            <w:r>
              <w:rPr/>
              <w:t>a court of competent jurisdiction enters an order or decree under any Bankruptcy Law that: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422"/>
        <w:gridCol w:w="9714"/>
      </w:tblGrid>
      <w:tr>
        <w:trPr/>
        <w:tc>
          <w:tcPr>
            <w:tcW w:w="6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20"/>
              </w:rPr>
            </w:pPr>
            <w:r>
              <w:rPr>
                <w:sz w:val="20"/>
              </w:rPr>
              <w:t>(a)</w:t>
            </w:r>
          </w:p>
        </w:tc>
        <w:tc>
          <w:tcPr>
            <w:tcW w:w="9714" w:type="dxa"/>
            <w:tcBorders/>
            <w:vAlign w:val="center"/>
          </w:tcPr>
          <w:p>
            <w:pPr>
              <w:pStyle w:val="TableContents"/>
              <w:bidi w:val="0"/>
              <w:spacing w:before="0" w:after="283"/>
              <w:jc w:val="both"/>
              <w:rPr/>
            </w:pPr>
            <w:r>
              <w:rPr/>
              <w:t>is for relief against the Company in an involuntary case,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14"/>
        <w:gridCol w:w="9843"/>
      </w:tblGrid>
      <w:tr>
        <w:trPr/>
        <w:tc>
          <w:tcPr>
            <w:tcW w:w="4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20"/>
              </w:rPr>
            </w:pPr>
            <w:r>
              <w:rPr>
                <w:sz w:val="20"/>
              </w:rPr>
              <w:t>(b)</w:t>
            </w:r>
          </w:p>
        </w:tc>
        <w:tc>
          <w:tcPr>
            <w:tcW w:w="9843" w:type="dxa"/>
            <w:tcBorders/>
            <w:vAlign w:val="center"/>
          </w:tcPr>
          <w:p>
            <w:pPr>
              <w:pStyle w:val="TableContents"/>
              <w:bidi w:val="0"/>
              <w:spacing w:before="0" w:after="283"/>
              <w:jc w:val="both"/>
              <w:rPr/>
            </w:pPr>
            <w:r>
              <w:rPr/>
              <w:t>appoints a Custodian of the Company for all or substantially all of its property,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20"/>
              </w:rPr>
            </w:pPr>
            <w:r>
              <w:rPr>
                <w:sz w:val="20"/>
              </w:rPr>
              <w:t>(c)</w:t>
            </w:r>
          </w:p>
        </w:tc>
        <w:tc>
          <w:tcPr>
            <w:tcW w:w="9941" w:type="dxa"/>
            <w:tcBorders/>
            <w:vAlign w:val="center"/>
          </w:tcPr>
          <w:p>
            <w:pPr>
              <w:pStyle w:val="TableContents"/>
              <w:bidi w:val="0"/>
              <w:spacing w:before="0" w:after="283"/>
              <w:jc w:val="both"/>
              <w:rPr/>
            </w:pPr>
            <w:r>
              <w:rPr/>
              <w:t>orders the liquidation of the Company, and the order or decree remains unstayed and in effect for 60 days;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491"/>
        <w:gridCol w:w="9663"/>
      </w:tblGrid>
      <w:tr>
        <w:trPr/>
        <w:tc>
          <w:tcPr>
            <w:tcW w:w="5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20"/>
              </w:rPr>
            </w:pPr>
            <w:r>
              <w:rPr>
                <w:sz w:val="20"/>
              </w:rPr>
              <w:t>(vii)</w:t>
            </w:r>
          </w:p>
        </w:tc>
        <w:tc>
          <w:tcPr>
            <w:tcW w:w="9663" w:type="dxa"/>
            <w:tcBorders/>
            <w:vAlign w:val="center"/>
          </w:tcPr>
          <w:p>
            <w:pPr>
              <w:pStyle w:val="TableContents"/>
              <w:bidi w:val="0"/>
              <w:spacing w:before="0" w:after="283"/>
              <w:jc w:val="both"/>
              <w:rPr/>
            </w:pPr>
            <w:r>
              <w:rPr/>
              <w:t>any other Event of Default provided with respect to Securities of that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Section 501, the term “Bankruptcy Law” means Title 11, U.S. Code or any similar Federal or state law for the relief of debtors and the term “Custodian” means any receiver, trustee, assignee, liquidator or other similar official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502. Acceleration of Maturity; Rescission and Annulment.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under clause (v) or (vi) of Section 501 with respect to Securities of any series at the time Outstanding occurs and is continuing, then and in every such case the Trustee or the Holders of not less than 25% in aggregate principal amount of the Outstanding Securities of each such affected series (voting as a single class) may declare the principal (or, if any Securities are Original Issue Discount Securities or Indexed Securities, such portion of the principal as may be specified in the terms thereof) of, and the Make-Whole Amount, if any, on,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20"/>
              </w:rPr>
            </w:pPr>
            <w:r>
              <w:rPr>
                <w:sz w:val="20"/>
              </w:rPr>
              <w:t>(i)</w:t>
            </w:r>
          </w:p>
        </w:tc>
        <w:tc>
          <w:tcPr>
            <w:tcW w:w="10006" w:type="dxa"/>
            <w:tcBorders/>
            <w:vAlign w:val="center"/>
          </w:tcPr>
          <w:p>
            <w:pPr>
              <w:pStyle w:val="TableContents"/>
              <w:bidi w:val="0"/>
              <w:spacing w:before="0" w:after="283"/>
              <w:jc w:val="both"/>
              <w:rPr/>
            </w:pPr>
            <w:r>
              <w:rPr/>
              <w:t>the Company has paid or deposited with the Trustee a sum sufficient to pay in the currency, currency unit or composite currency in which the Securities of such series are payable (except as otherwise specified pursuant to Section 301 for the Securities of such series):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20"/>
              </w:rPr>
            </w:pPr>
            <w:r>
              <w:rPr>
                <w:sz w:val="20"/>
              </w:rPr>
              <w:t>(a)</w:t>
            </w:r>
          </w:p>
        </w:tc>
        <w:tc>
          <w:tcPr>
            <w:tcW w:w="9951" w:type="dxa"/>
            <w:tcBorders/>
            <w:vAlign w:val="center"/>
          </w:tcPr>
          <w:p>
            <w:pPr>
              <w:pStyle w:val="TableContents"/>
              <w:bidi w:val="0"/>
              <w:spacing w:before="0" w:after="283"/>
              <w:jc w:val="both"/>
              <w:rPr/>
            </w:pPr>
            <w:r>
              <w:rPr/>
              <w:t>all overdue installments of interest on and any Additional Amounts payable in respect of all Outstanding Securities of that series;</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20"/>
              </w:rPr>
            </w:pPr>
            <w:r>
              <w:rPr>
                <w:sz w:val="20"/>
              </w:rPr>
              <w:t>(b)</w:t>
            </w:r>
          </w:p>
        </w:tc>
        <w:tc>
          <w:tcPr>
            <w:tcW w:w="9962" w:type="dxa"/>
            <w:tcBorders/>
            <w:vAlign w:val="center"/>
          </w:tcPr>
          <w:p>
            <w:pPr>
              <w:pStyle w:val="TableContents"/>
              <w:bidi w:val="0"/>
              <w:spacing w:before="0" w:after="283"/>
              <w:jc w:val="both"/>
              <w:rPr/>
            </w:pPr>
            <w:r>
              <w:rPr/>
              <w:t>the principal of (and premium or Make-Whole Amount, if any, on) any Outstanding Securities of that series which have become due otherwise than by such declaration of acceleration and interest thereon at the rate or rates borne by or provided for in such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(c)</w:t>
            </w:r>
          </w:p>
        </w:tc>
        <w:tc>
          <w:tcPr>
            <w:tcW w:w="9968" w:type="dxa"/>
            <w:tcBorders/>
            <w:vAlign w:val="center"/>
          </w:tcPr>
          <w:p>
            <w:pPr>
              <w:pStyle w:val="TableContents"/>
              <w:bidi w:val="0"/>
              <w:spacing w:before="0" w:after="283"/>
              <w:jc w:val="both"/>
              <w:rPr/>
            </w:pPr>
            <w:r>
              <w:rPr/>
              <w:t>to the extent that payment of such interest is lawful, interest upon overdue installments of interest and any Additional Amounts at the rate or rates borne by or provided for in such Securities;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20"/>
              </w:rPr>
            </w:pPr>
            <w:r>
              <w:rPr>
                <w:sz w:val="20"/>
              </w:rPr>
              <w:t>(d)</w:t>
            </w:r>
          </w:p>
        </w:tc>
        <w:tc>
          <w:tcPr>
            <w:tcW w:w="9948" w:type="dxa"/>
            <w:tcBorders/>
            <w:vAlign w:val="center"/>
          </w:tcPr>
          <w:p>
            <w:pPr>
              <w:pStyle w:val="TableContents"/>
              <w:bidi w:val="0"/>
              <w:spacing w:before="0" w:after="283"/>
              <w:jc w:val="both"/>
              <w:rPr/>
            </w:pPr>
            <w:r>
              <w:rPr/>
              <w:t>all sums paid or advanced by the Trustee hereunder and the reasonable compensation, expenses, disbursements and advances of the Trustee, its agents and counsel;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20"/>
              </w:rPr>
            </w:pPr>
            <w:r>
              <w:rPr>
                <w:sz w:val="20"/>
              </w:rPr>
              <w:t>(ii)</w:t>
            </w:r>
          </w:p>
        </w:tc>
        <w:tc>
          <w:tcPr>
            <w:tcW w:w="9950" w:type="dxa"/>
            <w:tcBorders/>
            <w:vAlign w:val="center"/>
          </w:tcPr>
          <w:p>
            <w:pPr>
              <w:pStyle w:val="TableContents"/>
              <w:bidi w:val="0"/>
              <w:spacing w:before="0" w:after="283"/>
              <w:jc w:val="both"/>
              <w:rPr/>
            </w:pPr>
            <w:r>
              <w:rPr/>
              <w:t>all Events of Default with respect to Securities of that series, other than the nonpayment of the principal of (or premium or Make-Whole Amount, if any) or interest on Securities of that series that have become due solely by such declaration of acceleration, have been cured or waived as provided in Section 513.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rescission shall affect any subsequent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503. Collection of Indebtedness and Suits for Enforcement by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if: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20"/>
              </w:rPr>
            </w:pPr>
            <w:r>
              <w:rPr>
                <w:sz w:val="20"/>
              </w:rPr>
              <w:t>(i)</w:t>
            </w:r>
          </w:p>
        </w:tc>
        <w:tc>
          <w:tcPr>
            <w:tcW w:w="10004" w:type="dxa"/>
            <w:tcBorders/>
            <w:vAlign w:val="center"/>
          </w:tcPr>
          <w:p>
            <w:pPr>
              <w:pStyle w:val="TableContents"/>
              <w:bidi w:val="0"/>
              <w:spacing w:before="0" w:after="283"/>
              <w:jc w:val="both"/>
              <w:rPr/>
            </w:pPr>
            <w:r>
              <w:rPr/>
              <w:t>default is made in the payment of any installment of interest or Additional Amounts, if any, on any Security of any series when such interest or Additional Amount becomes due and payable and such default continues for a period of 30 days,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20"/>
              </w:rPr>
            </w:pPr>
            <w:r>
              <w:rPr>
                <w:sz w:val="20"/>
              </w:rPr>
              <w:t>(ii)</w:t>
            </w:r>
          </w:p>
        </w:tc>
        <w:tc>
          <w:tcPr>
            <w:tcW w:w="9925" w:type="dxa"/>
            <w:tcBorders/>
            <w:vAlign w:val="center"/>
          </w:tcPr>
          <w:p>
            <w:pPr>
              <w:pStyle w:val="TableContents"/>
              <w:bidi w:val="0"/>
              <w:spacing w:before="0" w:after="283"/>
              <w:jc w:val="both"/>
              <w:rPr/>
            </w:pPr>
            <w:r>
              <w:rPr/>
              <w:t>default is made in the payment of the principal of (or premium or Make-Whole Amount, if any, on) any Security of any series at its Maturity,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Company will, upon demand of the Trustee, pay to the Trustee, for the benefit of the Holders of such Securities of such series, the whole amount then due and payable on such Securities for principal (and premium or Make-Whole Amount, if any) and interest and Additional Amounts, with interest upon any overdue principal (and premium or Make-Whole Amount, if any) and, to the extent that payment of such interest shall be legally enforceable, upon any overdue installments of interest or Additional Amounts, if any,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Securities of such series and collect the moneys adjudged or decreed to be payable in the manner provided by law out of the property of the Company or any other obligor upon such Securities of such series, wherever situated.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504. Trustee May File Proofs of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overdue principal, premium or Make-Whole Amount, if any, or interest) shall be entitled and empowered, by intervention in such proceeding or otherwise: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20"/>
              </w:rPr>
            </w:pPr>
            <w:r>
              <w:rPr>
                <w:sz w:val="20"/>
              </w:rPr>
              <w:t>(i)</w:t>
            </w:r>
          </w:p>
        </w:tc>
        <w:tc>
          <w:tcPr>
            <w:tcW w:w="10019" w:type="dxa"/>
            <w:tcBorders/>
            <w:vAlign w:val="center"/>
          </w:tcPr>
          <w:p>
            <w:pPr>
              <w:pStyle w:val="TableContents"/>
              <w:bidi w:val="0"/>
              <w:spacing w:before="0" w:after="283"/>
              <w:jc w:val="both"/>
              <w:rPr/>
            </w:pPr>
            <w:r>
              <w:rPr/>
              <w:t>to file and prove a claim for the whole amount, or such lesser amount as may be provided for in the Securities of such series, of principal (and premium or Make-Whole Amount, if any) and interest and Additional Amounts, if any,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20"/>
              </w:rPr>
            </w:pPr>
            <w:r>
              <w:rPr>
                <w:sz w:val="20"/>
              </w:rPr>
              <w:t>(ii)</w:t>
            </w:r>
          </w:p>
        </w:tc>
        <w:tc>
          <w:tcPr>
            <w:tcW w:w="9961" w:type="dxa"/>
            <w:tcBorders/>
            <w:vAlign w:val="center"/>
          </w:tcPr>
          <w:p>
            <w:pPr>
              <w:pStyle w:val="TableContents"/>
              <w:bidi w:val="0"/>
              <w:spacing w:before="0" w:after="283"/>
              <w:jc w:val="both"/>
              <w:rPr/>
            </w:pPr>
            <w:r>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of Securities of such series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hereunder.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accept or adopt on behalf of any Holder of a Security any plan of reorganization, arrangement, adjustment or composition affecting the Securities or the rights of any Holder thereof, or to authorize the Trustee to vote in respect of the claim of any Holder of a Security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505. Trustee May Enforce Claims Without Possession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claims under this Indenture or any of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506. Application of Money Collected.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 collected by the Trustee pursuant to this Article shall be applied in the following order, at the date or dates fixed by the Trustee and, in case of the distribution of such money on account of principal (or premium or Make-Whole Amount, if any) or interest and any Additional Amounts, upon presentation of the Securities and the notation thereon of the payment if only partially paid and upon surrender thereof if fully paid: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710"/>
        <w:gridCol w:w="9458"/>
      </w:tblGrid>
      <w:tr>
        <w:trPr/>
        <w:tc>
          <w:tcPr>
            <w:tcW w:w="3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pPr>
            <w:r>
              <w:rPr/>
              <w:t>FIRST:</w:t>
            </w:r>
          </w:p>
        </w:tc>
        <w:tc>
          <w:tcPr>
            <w:tcW w:w="9458" w:type="dxa"/>
            <w:tcBorders/>
            <w:vAlign w:val="center"/>
          </w:tcPr>
          <w:p>
            <w:pPr>
              <w:pStyle w:val="TableContents"/>
              <w:bidi w:val="0"/>
              <w:spacing w:before="0" w:after="283"/>
              <w:jc w:val="both"/>
              <w:rPr/>
            </w:pPr>
            <w:r>
              <w:rPr/>
              <w:t>To the payment of all amounts due the Trustee (acting in any capacity hereunder), its agents and counsel and any predecessor Trustee under Section 606 and Section 1305 hereunder.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020"/>
        <w:gridCol w:w="9148"/>
      </w:tblGrid>
      <w:tr>
        <w:trPr/>
        <w:tc>
          <w:tcPr>
            <w:tcW w:w="3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pPr>
            <w:r>
              <w:rPr/>
              <w:t>SECOND:</w:t>
            </w:r>
          </w:p>
        </w:tc>
        <w:tc>
          <w:tcPr>
            <w:tcW w:w="9148" w:type="dxa"/>
            <w:tcBorders/>
            <w:vAlign w:val="center"/>
          </w:tcPr>
          <w:p>
            <w:pPr>
              <w:pStyle w:val="TableContents"/>
              <w:bidi w:val="0"/>
              <w:spacing w:before="0" w:after="283"/>
              <w:jc w:val="both"/>
              <w:rPr/>
            </w:pPr>
            <w:r>
              <w:rPr/>
              <w:t>To the payment of the amounts then due and unpaid upon the Securities for principal (and premium or Make-Whole Amount, if any) and interest and any Additional Amounts payable, in respect of which or for the benefit of which such money has been collected, ratably, without preference or priority of any kind, according to the aggregate amounts due and payable on such Securities for principal (and premium or Make-Whole Amount, if any), interest and Additional Amounts, respectively, and</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1334"/>
        <w:gridCol w:w="8810"/>
      </w:tblGrid>
      <w:tr>
        <w:trPr/>
        <w:tc>
          <w:tcPr>
            <w:tcW w:w="6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pPr>
            <w:r>
              <w:rPr/>
              <w:t>THIRD:</w:t>
            </w:r>
          </w:p>
        </w:tc>
        <w:tc>
          <w:tcPr>
            <w:tcW w:w="8810" w:type="dxa"/>
            <w:tcBorders/>
            <w:vAlign w:val="center"/>
          </w:tcPr>
          <w:p>
            <w:pPr>
              <w:pStyle w:val="TableContents"/>
              <w:bidi w:val="0"/>
              <w:spacing w:before="0" w:after="283"/>
              <w:jc w:val="both"/>
              <w:rPr/>
            </w:pPr>
            <w:r>
              <w:rPr/>
              <w:t>To the payment of the remainder, if any, to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507. Limitation on Suits.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Security of any series shall have any right to institute any proceeding, judicial or otherwise, with respect to this Indenture, or for the appointment of a receiver or trustee, or for any other remedy hereunder, unless: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20"/>
              </w:rPr>
            </w:pPr>
            <w:r>
              <w:rPr>
                <w:sz w:val="20"/>
              </w:rPr>
              <w:t>(i)</w:t>
            </w:r>
          </w:p>
        </w:tc>
        <w:tc>
          <w:tcPr>
            <w:tcW w:w="9984" w:type="dxa"/>
            <w:tcBorders/>
            <w:vAlign w:val="center"/>
          </w:tcPr>
          <w:p>
            <w:pPr>
              <w:pStyle w:val="TableContents"/>
              <w:bidi w:val="0"/>
              <w:spacing w:before="0" w:after="283"/>
              <w:jc w:val="both"/>
              <w:rPr/>
            </w:pPr>
            <w:r>
              <w:rPr/>
              <w:t>such Holder has previously given written notice to the Trustee of a continuing Event of Default with respect to the Securities of that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20"/>
              </w:rPr>
            </w:pPr>
            <w:r>
              <w:rPr>
                <w:sz w:val="20"/>
              </w:rPr>
              <w:t>(ii)</w:t>
            </w:r>
          </w:p>
        </w:tc>
        <w:tc>
          <w:tcPr>
            <w:tcW w:w="9944" w:type="dxa"/>
            <w:tcBorders/>
            <w:vAlign w:val="center"/>
          </w:tcPr>
          <w:p>
            <w:pPr>
              <w:pStyle w:val="TableContents"/>
              <w:bidi w:val="0"/>
              <w:spacing w:before="0" w:after="283"/>
              <w:jc w:val="both"/>
              <w:rPr/>
            </w:pPr>
            <w:r>
              <w:rPr/>
              <w:t>the Holders of not less than 25% in principal amount of the Outstanding Securities of that series shall have made written request to the Trustee to institute proceedings in respect of such Event of Default in its own name as Trustee hereunder;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20"/>
              </w:rPr>
            </w:pPr>
            <w:r>
              <w:rPr>
                <w:sz w:val="20"/>
              </w:rPr>
              <w:t>(iii)</w:t>
            </w:r>
          </w:p>
        </w:tc>
        <w:tc>
          <w:tcPr>
            <w:tcW w:w="9877" w:type="dxa"/>
            <w:tcBorders/>
            <w:vAlign w:val="center"/>
          </w:tcPr>
          <w:p>
            <w:pPr>
              <w:pStyle w:val="TableContents"/>
              <w:bidi w:val="0"/>
              <w:spacing w:before="0" w:after="283"/>
              <w:jc w:val="both"/>
              <w:rPr/>
            </w:pPr>
            <w:r>
              <w:rPr/>
              <w:t>such Holder or Holders have offered to the Trustee security and indemnity satisfactory to the Trustee against the costs, expenses and liabilities to be incurred in compliance with such request;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20"/>
              </w:rPr>
            </w:pPr>
            <w:r>
              <w:rPr>
                <w:sz w:val="20"/>
              </w:rPr>
              <w:t>(iv)</w:t>
            </w:r>
          </w:p>
        </w:tc>
        <w:tc>
          <w:tcPr>
            <w:tcW w:w="9882" w:type="dxa"/>
            <w:tcBorders/>
            <w:vAlign w:val="center"/>
          </w:tcPr>
          <w:p>
            <w:pPr>
              <w:pStyle w:val="TableContents"/>
              <w:bidi w:val="0"/>
              <w:spacing w:before="0" w:after="283"/>
              <w:jc w:val="both"/>
              <w:rPr/>
            </w:pPr>
            <w:r>
              <w:rPr/>
              <w:t>the Trustee for 60 days after its receipt of such notice, request and offer of security and indemnity has failed to institute any such proceeding;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20"/>
              </w:rPr>
            </w:pPr>
            <w:r>
              <w:rPr>
                <w:sz w:val="20"/>
              </w:rPr>
              <w:t>(v)</w:t>
            </w:r>
          </w:p>
        </w:tc>
        <w:tc>
          <w:tcPr>
            <w:tcW w:w="9975" w:type="dxa"/>
            <w:tcBorders/>
            <w:vAlign w:val="center"/>
          </w:tcPr>
          <w:p>
            <w:pPr>
              <w:pStyle w:val="TableContents"/>
              <w:bidi w:val="0"/>
              <w:spacing w:before="0" w:after="283"/>
              <w:jc w:val="both"/>
              <w:rPr/>
            </w:pPr>
            <w:r>
              <w:rPr/>
              <w:t>no direction inconsistent with such written request has been given to the Trustee during such 60-day period by the Holders of a majority in principal amount of the Outstanding Securities of that series; 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508. Unconditional Right of Holders to Receive Principal, Premium or Make-Whole Amount, if any, Interest and Additional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this Indenture, the Holder of any Security shall have the right, which is absolute and unconditional, to receive payment of the principal of (and premium or Make-Whole Amount, if any) and (subject to Sections 305 and 307) interest on, and any Additional Amounts in respect of, such Security on the respective due dates expressed in such Security (or, in the case of redemption, on the Redemption Date) and to institute suit for the enforcement of any such payment, and such rights shall not be impaired without the consent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509. Restoration of Rights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or any Holder of a Security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shall, subject to any determination in such proceeding, be restored severally and respectively to their former positions hereunder and thereafter all rights and remedies of the Trustee and the Holders shall continue as though no such proceeding has been instituted.</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510. Rights and Remedies Cumulative.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with respect to the replacement or payment of mutilated, destroyed, lost or stolen Securities in the last paragraph of Section 306,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511. Delay or Omission Not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of the Trustee or of any Holder of any Security to exercise any right or remedy accruing upon any Event of Default shall impair any such right or remedy or constitute a waiver of any such Event of Default or any acquiescence therein. Every right and remedy given by this Article or by law to the Trustee or to the Holders may be exercised from time to time, and as often as may be deemed expedient, by the Trustee or by the Holders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512. Control by Holders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16"/>
        <w:gridCol w:w="9949"/>
      </w:tblGrid>
      <w:tr>
        <w:trPr/>
        <w:tc>
          <w:tcPr>
            <w:tcW w:w="4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20"/>
              </w:rPr>
            </w:pPr>
            <w:r>
              <w:rPr>
                <w:sz w:val="20"/>
              </w:rPr>
              <w:t>(i)</w:t>
            </w:r>
          </w:p>
        </w:tc>
        <w:tc>
          <w:tcPr>
            <w:tcW w:w="9949" w:type="dxa"/>
            <w:tcBorders/>
            <w:vAlign w:val="center"/>
          </w:tcPr>
          <w:p>
            <w:pPr>
              <w:pStyle w:val="TableContents"/>
              <w:bidi w:val="0"/>
              <w:spacing w:before="0" w:after="283"/>
              <w:jc w:val="both"/>
              <w:rPr/>
            </w:pPr>
            <w:r>
              <w:rPr/>
              <w:t>such direction shall not be in conflict with any rule of law or with this Indenture, or the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20"/>
              </w:rPr>
            </w:pPr>
            <w:r>
              <w:rPr>
                <w:sz w:val="20"/>
              </w:rPr>
              <w:t>(ii)</w:t>
            </w:r>
          </w:p>
        </w:tc>
        <w:tc>
          <w:tcPr>
            <w:tcW w:w="9915" w:type="dxa"/>
            <w:tcBorders/>
            <w:vAlign w:val="center"/>
          </w:tcPr>
          <w:p>
            <w:pPr>
              <w:pStyle w:val="TableContents"/>
              <w:bidi w:val="0"/>
              <w:spacing w:before="0" w:after="283"/>
              <w:jc w:val="both"/>
              <w:rPr/>
            </w:pPr>
            <w:r>
              <w:rPr/>
              <w:t>the Trustee may take any other action deemed proper by the Trustee that is not inconsistent with such direction,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20"/>
              </w:rPr>
            </w:pPr>
            <w:r>
              <w:rPr>
                <w:sz w:val="20"/>
              </w:rPr>
              <w:t>(iii)</w:t>
            </w:r>
          </w:p>
        </w:tc>
        <w:tc>
          <w:tcPr>
            <w:tcW w:w="9886" w:type="dxa"/>
            <w:tcBorders/>
            <w:vAlign w:val="center"/>
          </w:tcPr>
          <w:p>
            <w:pPr>
              <w:pStyle w:val="TableContents"/>
              <w:bidi w:val="0"/>
              <w:spacing w:before="0" w:after="283"/>
              <w:jc w:val="both"/>
              <w:rPr/>
            </w:pPr>
            <w:r>
              <w:rPr/>
              <w:t>the Trustee need not take any action that might involve it in personal liability or be unduly prejudicial to the Holders of Securities of such series not joining therein (but the Trustee shall have no obligation as to the determination of such undue prejudice).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513. Waiver of Past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not less than a majority in principal amount of the Outstanding Securities of any series may on behalf of the Holders of all the Securities of such series consent to the waiver of any past default hereunder with respect to such series and its consequences, except a default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20"/>
              </w:rPr>
            </w:pPr>
            <w:r>
              <w:rPr>
                <w:sz w:val="20"/>
              </w:rPr>
              <w:t>(i)</w:t>
            </w:r>
          </w:p>
        </w:tc>
        <w:tc>
          <w:tcPr>
            <w:tcW w:w="9993" w:type="dxa"/>
            <w:tcBorders/>
            <w:vAlign w:val="center"/>
          </w:tcPr>
          <w:p>
            <w:pPr>
              <w:pStyle w:val="TableContents"/>
              <w:bidi w:val="0"/>
              <w:spacing w:before="0" w:after="283"/>
              <w:jc w:val="both"/>
              <w:rPr/>
            </w:pPr>
            <w:r>
              <w:rPr/>
              <w:t>in the payment of the principal of (or premium or Make-Whole Amount, if any) or interest on or Additional Amounts payable in respect of any Security of such series,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20"/>
              </w:rPr>
            </w:pPr>
            <w:r>
              <w:rPr>
                <w:sz w:val="20"/>
              </w:rPr>
              <w:t>(ii)</w:t>
            </w:r>
          </w:p>
        </w:tc>
        <w:tc>
          <w:tcPr>
            <w:tcW w:w="9937" w:type="dxa"/>
            <w:tcBorders/>
            <w:vAlign w:val="center"/>
          </w:tcPr>
          <w:p>
            <w:pPr>
              <w:pStyle w:val="TableContents"/>
              <w:bidi w:val="0"/>
              <w:spacing w:before="0" w:after="283"/>
              <w:jc w:val="both"/>
              <w:rPr/>
            </w:pPr>
            <w:r>
              <w:rPr/>
              <w:t>in respect of a covenant or provision hereof which under Article Nine cannot be modified or amended without the consent of the Holder of each Outstanding Security of such series affected.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514. Waiver of Stay or Extension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515. Undertaking for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or to any suit instituted by any Holder for the enforcement of the payment of the principal of (or premium or Make-Whole Amount, if any) or interest on or Additional Amounts payable with respect to any Security on or after the respective Stated Maturities expressed in such Security (or in the case of redemption, on or after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SIX</w:t>
        <w:br/>
        <w:t>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601. Notice of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Within 90 days after it obtains actual knowledge of the occurrence of any default hereunder with respect to the Securities of any series, the Trustee shall transmit, in the manner and to the extent provided in TIA Section 313(c), notice of such default hereunder actually known to a Responsible Officer of the Trustee, unless such default shall have been cured or waived;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except in the case of a default in the payment of the principal of (or premium or Make-Whole Amount, if any) or interest on or any Additional Amounts with respect to any Security of such series, or in the payment of any sinking fund installment with respect to the Securities of such series, the Trustee shall be protected in withholding such notice if and so long as the Trustee in good faith determines that the withholding of such notice is in the interests of the Holders of the Securities of such series;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in the case of any default or breach of the character specified in Section 501(iv) with respect to the Securities of such series, no such notice to Holders shall be given until at least 60 days after the occurrence thereof. For the purpose of this Section, the term “default” means any event that is, or after notice or lapse of time or both would become, an Event of Default with respect to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602. Certain Rights and Duties of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has occurred and is continuing, the Trustee will exercise such of the rights and powers vested in it by this Indenture and use the same degree of care in its exercise, as a prudent person would exercise or use under the circumstances in the conduct of such person’s own affairs. The Trustee may not be relieved from liabilities for its own negligent action, its own negligent failure to act or its own willful misconduct, except that (i) this sentence does not limit the effect of the preceding sentence; (ii) the Trustee shall not be liable for any error of judgment made in good faith by a Responsible Officer of the Trustee unless it is proved in a court of competent jurisdiction that the Trustee was negligent in ascertaining the pertinent facts; and (iii) the Trustee shall not be liable with respect to any action it takes or omits to take in good faith and without negligence in accordance with a direction received by it pursuant to Section 512.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TIA Sections 315(a) through 315(d):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(i)</w:t>
            </w:r>
          </w:p>
        </w:tc>
        <w:tc>
          <w:tcPr>
            <w:tcW w:w="9998" w:type="dxa"/>
            <w:tcBorders/>
            <w:vAlign w:val="center"/>
          </w:tcPr>
          <w:p>
            <w:pPr>
              <w:pStyle w:val="TableContents"/>
              <w:bidi w:val="0"/>
              <w:spacing w:before="0" w:after="283"/>
              <w:jc w:val="both"/>
              <w:rPr/>
            </w:pPr>
            <w:r>
              <w:rPr/>
              <w:t>the Trustee shall perform only such duties as are expressly undertaken by it to perform under this Indenture and no implied covenants or obligations shall be read into this Indenture against the Trustee;</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20"/>
              </w:rPr>
            </w:pPr>
            <w:r>
              <w:rPr>
                <w:sz w:val="20"/>
              </w:rPr>
              <w:t>(ii)</w:t>
            </w:r>
          </w:p>
        </w:tc>
        <w:tc>
          <w:tcPr>
            <w:tcW w:w="9959" w:type="dxa"/>
            <w:tcBorders/>
            <w:vAlign w:val="center"/>
          </w:tcPr>
          <w:p>
            <w:pPr>
              <w:pStyle w:val="TableContents"/>
              <w:bidi w:val="0"/>
              <w:spacing w:before="0" w:after="283"/>
              <w:jc w:val="both"/>
              <w:rPr/>
            </w:pPr>
            <w:r>
              <w:rPr/>
              <w:t>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 not only as to due execution, validity and effectiveness, but also as to the truth and accuracy of any information contained therein subject to any carveouts or caveats included and incorporated therein;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20"/>
              </w:rPr>
            </w:pPr>
            <w:r>
              <w:rPr>
                <w:sz w:val="20"/>
              </w:rPr>
              <w:t>(iii)</w:t>
            </w:r>
          </w:p>
        </w:tc>
        <w:tc>
          <w:tcPr>
            <w:tcW w:w="9894" w:type="dxa"/>
            <w:tcBorders/>
            <w:vAlign w:val="center"/>
          </w:tcPr>
          <w:p>
            <w:pPr>
              <w:pStyle w:val="TableContents"/>
              <w:bidi w:val="0"/>
              <w:spacing w:before="0" w:after="283"/>
              <w:jc w:val="both"/>
              <w:rPr/>
            </w:pPr>
            <w:r>
              <w:rPr/>
              <w:t>any request or direction of the Company mentioned herein shall be sufficiently evidenced by a Company Request or Company Order (other than delivery of any Security to the Trustee for authentication and delivery pursuant to Section 303 that shall be sufficiently evidenced as provided therein) and any resolution of the Board of Directors may be sufficiently evidenced by a Board Resolution;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20"/>
              </w:rPr>
            </w:pPr>
            <w:r>
              <w:rPr>
                <w:sz w:val="20"/>
              </w:rPr>
              <w:t>(iv)</w:t>
            </w:r>
          </w:p>
        </w:tc>
        <w:tc>
          <w:tcPr>
            <w:tcW w:w="9910" w:type="dxa"/>
            <w:tcBorders/>
            <w:vAlign w:val="center"/>
          </w:tcPr>
          <w:p>
            <w:pPr>
              <w:pStyle w:val="TableContents"/>
              <w:bidi w:val="0"/>
              <w:spacing w:before="0" w:after="283"/>
              <w:jc w:val="both"/>
              <w:rPr/>
            </w:pPr>
            <w:r>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willful misconduct as determined by a court of competent jurisdiction in a final non-appealable order on its part, rely upon an Officers’ Certificate;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(v)</w:t>
            </w:r>
          </w:p>
        </w:tc>
        <w:tc>
          <w:tcPr>
            <w:tcW w:w="9968" w:type="dxa"/>
            <w:tcBorders/>
            <w:vAlign w:val="center"/>
          </w:tcPr>
          <w:p>
            <w:pPr>
              <w:pStyle w:val="TableContents"/>
              <w:bidi w:val="0"/>
              <w:spacing w:before="0" w:after="283"/>
              <w:jc w:val="both"/>
              <w:rPr/>
            </w:pPr>
            <w:r>
              <w:rPr/>
              <w:t>the Trustee may consult with counsel and as a condition to the taking, suffering or omission of any action hereunder may demand an Opinion of Counsel, and the advice of such counsel or any Opinion of Counsel shall be full and complete authorization and protection in respect of any action taken, suffered or omitted by it hereunder in good faith and in reliance thereon;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20"/>
              </w:rPr>
            </w:pPr>
            <w:r>
              <w:rPr>
                <w:sz w:val="20"/>
              </w:rPr>
              <w:t>(vi)</w:t>
            </w:r>
          </w:p>
        </w:tc>
        <w:tc>
          <w:tcPr>
            <w:tcW w:w="9911" w:type="dxa"/>
            <w:tcBorders/>
            <w:vAlign w:val="center"/>
          </w:tcPr>
          <w:p>
            <w:pPr>
              <w:pStyle w:val="TableContents"/>
              <w:bidi w:val="0"/>
              <w:spacing w:before="0" w:after="283"/>
              <w:jc w:val="both"/>
              <w:rPr/>
            </w:pPr>
            <w:r>
              <w:rPr/>
              <w:t>the Trustee shall be under no obligation to exercise any of the rights or powers vested in it by this Indenture at the request or direction of any of the Holders of Securities of any series pursuant to this Indenture, unless such Holders shall have offered to the Trustee security or indemnity satisfactory to the Trustee against the costs, fees, losses expenses and liabilities (including attorney’s fees and expenses) that might be incurred by it in compliance with such request or direction;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3"/>
        <w:gridCol w:w="9855"/>
      </w:tblGrid>
      <w:tr>
        <w:trPr/>
        <w:tc>
          <w:tcPr>
            <w:tcW w:w="3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20"/>
              </w:rPr>
            </w:pPr>
            <w:r>
              <w:rPr>
                <w:sz w:val="20"/>
              </w:rPr>
              <w:t>(vii)</w:t>
            </w:r>
          </w:p>
        </w:tc>
        <w:tc>
          <w:tcPr>
            <w:tcW w:w="9855" w:type="dxa"/>
            <w:tcBorders/>
            <w:vAlign w:val="center"/>
          </w:tcPr>
          <w:p>
            <w:pPr>
              <w:pStyle w:val="TableContents"/>
              <w:bidi w:val="0"/>
              <w:spacing w:before="0" w:after="283"/>
              <w:jc w:val="both"/>
              <w:rPr/>
            </w:pPr>
            <w:r>
              <w:rPr/>
              <w:t>the Trustee shall not be bound to make any investigation into the facts or matters stated in any resolution, certificate, statement, instrument, opinion, report, notice, request, direction, consent, order, bond, debenture, note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 it shall incur no liability of any kind by reason of such inquiry or investigation;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1"/>
        <w:gridCol w:w="9787"/>
      </w:tblGrid>
      <w:tr>
        <w:trPr/>
        <w:tc>
          <w:tcPr>
            <w:tcW w:w="3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20"/>
              </w:rPr>
            </w:pPr>
            <w:r>
              <w:rPr>
                <w:sz w:val="20"/>
              </w:rPr>
              <w:t>(viii)</w:t>
            </w:r>
          </w:p>
        </w:tc>
        <w:tc>
          <w:tcPr>
            <w:tcW w:w="9787" w:type="dxa"/>
            <w:tcBorders/>
            <w:vAlign w:val="center"/>
          </w:tcPr>
          <w:p>
            <w:pPr>
              <w:pStyle w:val="TableContents"/>
              <w:bidi w:val="0"/>
              <w:spacing w:before="0" w:after="283"/>
              <w:jc w:val="both"/>
              <w:rPr/>
            </w:pPr>
            <w:r>
              <w:rPr/>
              <w:t>the Trustee may execute any of the trusts or powers hereunder or perform any duties hereunder either directly or by or through agents, attorneys, custodians or nominees and the Trustee shall not be responsible for any misconduct or negligence on the part of any agent, attorney, custodian or nominee appointed with due care by it hereunder;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20"/>
              </w:rPr>
            </w:pPr>
            <w:r>
              <w:rPr>
                <w:sz w:val="20"/>
              </w:rPr>
              <w:t>(ix)</w:t>
            </w:r>
          </w:p>
        </w:tc>
        <w:tc>
          <w:tcPr>
            <w:tcW w:w="9905" w:type="dxa"/>
            <w:tcBorders/>
            <w:vAlign w:val="center"/>
          </w:tcPr>
          <w:p>
            <w:pPr>
              <w:pStyle w:val="TableContents"/>
              <w:bidi w:val="0"/>
              <w:spacing w:before="0" w:after="283"/>
              <w:jc w:val="both"/>
              <w:rPr/>
            </w:pPr>
            <w:r>
              <w:rPr/>
              <w:t xml:space="preserve">the Trustee shall not be liable for any action taken, suffered or omitted by it in good faith and reasonably believed by it to be authorized or within the discretion or rights or powers conferred upon it by this Indenture; </w:t>
            </w:r>
            <w:r>
              <w:rPr>
                <w:i/>
              </w:rPr>
              <w:t>provided</w:t>
            </w:r>
            <w:r>
              <w:rPr/>
              <w:t xml:space="preserve">, </w:t>
            </w:r>
            <w:r>
              <w:rPr>
                <w:i/>
              </w:rPr>
              <w:t>however</w:t>
            </w:r>
            <w:r>
              <w:rPr/>
              <w:t>, that the Trustee’s conduct does not constitute willful misconduct or gross negligence;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(x)</w:t>
            </w:r>
          </w:p>
        </w:tc>
        <w:tc>
          <w:tcPr>
            <w:tcW w:w="9968" w:type="dxa"/>
            <w:tcBorders/>
            <w:vAlign w:val="center"/>
          </w:tcPr>
          <w:p>
            <w:pPr>
              <w:pStyle w:val="TableContents"/>
              <w:bidi w:val="0"/>
              <w:spacing w:before="0" w:after="283"/>
              <w:jc w:val="both"/>
              <w:rPr/>
            </w:pPr>
            <w:r>
              <w:rPr/>
              <w:t>in no event shall the Trustee be responsible or liable for special, punitive, indirect, incidental or consequential loss or damage of any kind whatsoever (including, but not limited to, loss of business, goodwill, opportunity or profit of any kind) irrespective of whether the Trustee has been advised of the likelihood of such loss or damage and regardless of the form of action;</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20"/>
              </w:rPr>
            </w:pPr>
            <w:r>
              <w:rPr>
                <w:sz w:val="20"/>
              </w:rPr>
              <w:t>(xi)</w:t>
            </w:r>
          </w:p>
        </w:tc>
        <w:tc>
          <w:tcPr>
            <w:tcW w:w="9909" w:type="dxa"/>
            <w:tcBorders/>
            <w:vAlign w:val="center"/>
          </w:tcPr>
          <w:p>
            <w:pPr>
              <w:pStyle w:val="TableContents"/>
              <w:bidi w:val="0"/>
              <w:spacing w:before="0" w:after="283"/>
              <w:jc w:val="both"/>
              <w:rPr/>
            </w:pPr>
            <w:r>
              <w:rPr/>
              <w:t>the Trustee shall not be deemed to have notice or knowledge of any Default or Event of Default unless a Responsible Officer of the Trustee has actual knowledge thereof or unless written notice of any event which is in fact such a default is received by the Trustee at the Corporate Trust Office, and such notice references the Securities and this Indenture and states that it is a notice of default;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1"/>
        <w:gridCol w:w="9847"/>
      </w:tblGrid>
      <w:tr>
        <w:trPr/>
        <w:tc>
          <w:tcPr>
            <w:tcW w:w="3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20"/>
              </w:rPr>
            </w:pPr>
            <w:r>
              <w:rPr>
                <w:sz w:val="20"/>
              </w:rPr>
              <w:t>(xii)</w:t>
            </w:r>
          </w:p>
        </w:tc>
        <w:tc>
          <w:tcPr>
            <w:tcW w:w="9847" w:type="dxa"/>
            <w:tcBorders/>
            <w:vAlign w:val="center"/>
          </w:tcPr>
          <w:p>
            <w:pPr>
              <w:pStyle w:val="TableContents"/>
              <w:bidi w:val="0"/>
              <w:spacing w:before="0" w:after="283"/>
              <w:jc w:val="both"/>
              <w:rPr/>
            </w:pPr>
            <w:r>
              <w:rPr/>
              <w:t>the rights, privileges, protections, immunities and benefits given to the Trustee, including, without limitation, its right to be compensated, reimbursed and indemnified, are extended to, and shall be enforceable by, the Trustee in each of its capacities hereunder, and to each agent, custodian and other Person employed to act hereunder;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94"/>
        <w:gridCol w:w="9774"/>
      </w:tblGrid>
      <w:tr>
        <w:trPr/>
        <w:tc>
          <w:tcPr>
            <w:tcW w:w="3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20"/>
              </w:rPr>
            </w:pPr>
            <w:r>
              <w:rPr>
                <w:sz w:val="20"/>
              </w:rPr>
              <w:t>(xiii)</w:t>
            </w:r>
          </w:p>
        </w:tc>
        <w:tc>
          <w:tcPr>
            <w:tcW w:w="9774" w:type="dxa"/>
            <w:tcBorders/>
            <w:vAlign w:val="center"/>
          </w:tcPr>
          <w:p>
            <w:pPr>
              <w:pStyle w:val="TableContents"/>
              <w:bidi w:val="0"/>
              <w:spacing w:before="0" w:after="283"/>
              <w:jc w:val="both"/>
              <w:rPr/>
            </w:pPr>
            <w:r>
              <w:rPr/>
              <w:t>the Trustee may request that the Company deliver a certificate setting forth the names of individuals and/or titles of officers authorized at such time to take specified actions pursuant to this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4"/>
        <w:gridCol w:w="9784"/>
      </w:tblGrid>
      <w:tr>
        <w:trPr/>
        <w:tc>
          <w:tcPr>
            <w:tcW w:w="3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20"/>
              </w:rPr>
            </w:pPr>
            <w:r>
              <w:rPr>
                <w:sz w:val="20"/>
              </w:rPr>
              <w:t>(xiv)</w:t>
            </w:r>
          </w:p>
        </w:tc>
        <w:tc>
          <w:tcPr>
            <w:tcW w:w="9784" w:type="dxa"/>
            <w:tcBorders/>
            <w:vAlign w:val="center"/>
          </w:tcPr>
          <w:p>
            <w:pPr>
              <w:pStyle w:val="TableContents"/>
              <w:bidi w:val="0"/>
              <w:spacing w:before="0" w:after="283"/>
              <w:jc w:val="both"/>
              <w:rPr/>
            </w:pPr>
            <w:r>
              <w:rPr/>
              <w:t>the Trustee shall not be liable or responsible for any action or inaction of DTC, Euroclear, Clearstream, the Common Depository or any other clearinghouse or depositary;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4"/>
        <w:gridCol w:w="9854"/>
      </w:tblGrid>
      <w:tr>
        <w:trPr/>
        <w:tc>
          <w:tcPr>
            <w:tcW w:w="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20"/>
              </w:rPr>
            </w:pPr>
            <w:r>
              <w:rPr>
                <w:sz w:val="20"/>
              </w:rPr>
              <w:t>(xv)</w:t>
            </w:r>
          </w:p>
        </w:tc>
        <w:tc>
          <w:tcPr>
            <w:tcW w:w="9854" w:type="dxa"/>
            <w:tcBorders/>
            <w:vAlign w:val="center"/>
          </w:tcPr>
          <w:p>
            <w:pPr>
              <w:pStyle w:val="TableContents"/>
              <w:bidi w:val="0"/>
              <w:spacing w:before="0" w:after="283"/>
              <w:jc w:val="both"/>
              <w:rPr/>
            </w:pPr>
            <w:r>
              <w:rPr/>
              <w:t>the Trustee shall not be liable or responsible for any action or inaction of any Paying Agent, Authenticating Agent, co-Trustee or Security Registrar (unless the Trustee is acting in such capacities as applicable, subject to the terms 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20"/>
              </w:rPr>
            </w:pPr>
            <w:r>
              <w:rPr>
                <w:sz w:val="20"/>
              </w:rPr>
              <w:t>(xvi)</w:t>
            </w:r>
          </w:p>
        </w:tc>
        <w:tc>
          <w:tcPr>
            <w:tcW w:w="9788" w:type="dxa"/>
            <w:tcBorders/>
            <w:vAlign w:val="center"/>
          </w:tcPr>
          <w:p>
            <w:pPr>
              <w:pStyle w:val="TableContents"/>
              <w:bidi w:val="0"/>
              <w:spacing w:before="0" w:after="283"/>
              <w:jc w:val="both"/>
              <w:rPr/>
            </w:pPr>
            <w:r>
              <w:rPr/>
              <w:t>the Trustee may accept as conclusive evidence of any fact or the correctness of any calculation and shall be fully protected in relying upon the Officers’ Certificate provided to it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39"/>
        <w:gridCol w:w="9729"/>
      </w:tblGrid>
      <w:tr>
        <w:trPr/>
        <w:tc>
          <w:tcPr>
            <w:tcW w:w="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20"/>
              </w:rPr>
            </w:pPr>
            <w:r>
              <w:rPr>
                <w:sz w:val="20"/>
              </w:rPr>
              <w:t>(xvii)</w:t>
            </w:r>
          </w:p>
        </w:tc>
        <w:tc>
          <w:tcPr>
            <w:tcW w:w="9729" w:type="dxa"/>
            <w:tcBorders/>
            <w:vAlign w:val="center"/>
          </w:tcPr>
          <w:p>
            <w:pPr>
              <w:pStyle w:val="TableContents"/>
              <w:bidi w:val="0"/>
              <w:spacing w:before="0" w:after="283"/>
              <w:jc w:val="both"/>
              <w:rPr/>
            </w:pPr>
            <w:r>
              <w:rPr/>
              <w:t>the Trustee shall have no obligation to undertake any calculation hereunder or have any liability for any calculation performed in connection herewith or the transactions contemplated hereunder;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26"/>
        <w:gridCol w:w="9642"/>
      </w:tblGrid>
      <w:tr>
        <w:trPr/>
        <w:tc>
          <w:tcPr>
            <w:tcW w:w="3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20"/>
              </w:rPr>
            </w:pPr>
            <w:r>
              <w:rPr>
                <w:sz w:val="20"/>
              </w:rPr>
              <w:t>(xviii)</w:t>
            </w:r>
          </w:p>
        </w:tc>
        <w:tc>
          <w:tcPr>
            <w:tcW w:w="9642" w:type="dxa"/>
            <w:tcBorders/>
            <w:vAlign w:val="center"/>
          </w:tcPr>
          <w:p>
            <w:pPr>
              <w:pStyle w:val="TableContents"/>
              <w:bidi w:val="0"/>
              <w:spacing w:before="0" w:after="283"/>
              <w:jc w:val="both"/>
              <w:rPr/>
            </w:pPr>
            <w:r>
              <w:rPr/>
              <w:t>the permissive right of the Trustee to do things enumerated in the Indenture shall not be construed as a duty;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99"/>
        <w:gridCol w:w="9769"/>
      </w:tblGrid>
      <w:tr>
        <w:trPr/>
        <w:tc>
          <w:tcPr>
            <w:tcW w:w="3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20"/>
              </w:rPr>
            </w:pPr>
            <w:r>
              <w:rPr>
                <w:sz w:val="20"/>
              </w:rPr>
              <w:t>(xix)</w:t>
            </w:r>
          </w:p>
        </w:tc>
        <w:tc>
          <w:tcPr>
            <w:tcW w:w="9769" w:type="dxa"/>
            <w:tcBorders/>
            <w:vAlign w:val="center"/>
          </w:tcPr>
          <w:p>
            <w:pPr>
              <w:pStyle w:val="TableContents"/>
              <w:bidi w:val="0"/>
              <w:spacing w:before="0" w:after="283"/>
              <w:jc w:val="both"/>
              <w:rPr/>
            </w:pPr>
            <w:r>
              <w:rPr/>
              <w:t>under no circumstances shall the Trustee be liable in its individual capacity for the obligations evidenced by the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7"/>
        <w:gridCol w:w="9831"/>
      </w:tblGrid>
      <w:tr>
        <w:trPr/>
        <w:tc>
          <w:tcPr>
            <w:tcW w:w="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20"/>
              </w:rPr>
            </w:pPr>
            <w:r>
              <w:rPr>
                <w:sz w:val="20"/>
              </w:rPr>
              <w:t>(xx)</w:t>
            </w:r>
          </w:p>
        </w:tc>
        <w:tc>
          <w:tcPr>
            <w:tcW w:w="9831" w:type="dxa"/>
            <w:tcBorders/>
            <w:vAlign w:val="center"/>
          </w:tcPr>
          <w:p>
            <w:pPr>
              <w:pStyle w:val="TableContents"/>
              <w:bidi w:val="0"/>
              <w:spacing w:before="0" w:after="283"/>
              <w:jc w:val="both"/>
              <w:rPr/>
            </w:pPr>
            <w:r>
              <w:rPr/>
              <w:t>the Trustee shall not be required to give any bond or surety in respect of the performance of its powers and duties hereunder;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5"/>
        <w:gridCol w:w="9803"/>
      </w:tblGrid>
      <w:tr>
        <w:trPr/>
        <w:tc>
          <w:tcPr>
            <w:tcW w:w="3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20"/>
              </w:rPr>
            </w:pPr>
            <w:r>
              <w:rPr>
                <w:sz w:val="20"/>
              </w:rPr>
              <w:t>(xxi)</w:t>
            </w:r>
          </w:p>
        </w:tc>
        <w:tc>
          <w:tcPr>
            <w:tcW w:w="9803" w:type="dxa"/>
            <w:tcBorders/>
            <w:vAlign w:val="center"/>
          </w:tcPr>
          <w:p>
            <w:pPr>
              <w:pStyle w:val="TableContents"/>
              <w:bidi w:val="0"/>
              <w:spacing w:before="0" w:after="283"/>
              <w:jc w:val="both"/>
              <w:rPr/>
            </w:pPr>
            <w:r>
              <w:rPr/>
              <w:t>the Trustee shall have no duty to inquire, no duty to determine and no duty to monitor as to the performance of the Company’s covenants under this Indenture or the financial performance of the Company; the Trustee shall be entitled to assume, until it has received written notice in accordance with this Indenture, that the Company is properly performing its duties hereunder.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603. Not Responsible for Recitals or Issuance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recitals contained herein and in the Securities, except the Trustee’s certificate of authentication, shall be taken as the statements of the Company, and neither the Trustee nor any Authenticating Agent assumes any responsibility for their correctness. The Trustee makes no representations as to the validity or sufficiency of this Indenture or of the Securities, except that the Trustee represents that it is duly authorized to execute and deliver this Indenture, authenticate the Securities and perform its obligations hereunder. Neither the Trustee nor any Authenticating Agent shall be accountable for the use or application by the Company of Securities or the proceeds thereof.</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604. May Hold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any Paying Agent, Security Registrar, Authenticating Agent or any other agent of the Trustee or the Company, in its individual or any other capacity, may become the owner or pledgee of Securities and, subject to Section 613 and TIA Sections 310(b) and 311, may otherwise deal with the Company with the same rights it would have if it were not Trustee, Paying Agent, Security Registrar, Authenticating Agent or such other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605. Money Held in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held by the Trustee in trust hereunder need not be segregated from other funds except to the extent required by law and shall be held uninvested. The Trustee shall be under no liability for interest on, or investment of, any money received by 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606. Compensation and Reimbursement.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20"/>
              </w:rPr>
            </w:pPr>
            <w:r>
              <w:rPr>
                <w:sz w:val="20"/>
              </w:rPr>
              <w:t>(i)</w:t>
            </w:r>
          </w:p>
        </w:tc>
        <w:tc>
          <w:tcPr>
            <w:tcW w:w="10015" w:type="dxa"/>
            <w:tcBorders/>
            <w:vAlign w:val="center"/>
          </w:tcPr>
          <w:p>
            <w:pPr>
              <w:pStyle w:val="TableContents"/>
              <w:bidi w:val="0"/>
              <w:spacing w:before="0" w:after="283"/>
              <w:jc w:val="both"/>
              <w:rPr/>
            </w:pPr>
            <w:r>
              <w:rPr/>
              <w:t>to pay to the Trustee (acting in any capacity hereunder) from time to time compensation for all services rendered by it hereunder, including extraordinary services rendered in connection with or during the continuation of a default hereunder (which compensation shall not be limited by any provision of law in regard to the compensation of a trustee of an express trust) as agreed in writing between the Company and the Trustee;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20"/>
              </w:rPr>
            </w:pPr>
            <w:r>
              <w:rPr>
                <w:sz w:val="20"/>
              </w:rPr>
              <w:t>(ii)</w:t>
            </w:r>
          </w:p>
        </w:tc>
        <w:tc>
          <w:tcPr>
            <w:tcW w:w="9959" w:type="dxa"/>
            <w:tcBorders/>
            <w:vAlign w:val="center"/>
          </w:tcPr>
          <w:p>
            <w:pPr>
              <w:pStyle w:val="TableContents"/>
              <w:bidi w:val="0"/>
              <w:spacing w:before="0" w:after="283"/>
              <w:jc w:val="both"/>
              <w:rPr/>
            </w:pPr>
            <w:r>
              <w:rPr/>
              <w:t>to reimburse each of the Trustee and any predecessor Trustee upon its request for all reasonable expenses, disbursements and advances incurred or made by it in accordance with any provision of this Indenture (including the reasonable compensation and the expenses and disbursements of its agents and counsel) in addition to the compensation for its services, except to the extent any such expense, disbursement or advance may be attributable to its gross negligence or willful misconduct as determined by a court of competent jurisdiction in a final non-appealable order;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20"/>
              </w:rPr>
            </w:pPr>
            <w:r>
              <w:rPr>
                <w:sz w:val="20"/>
              </w:rPr>
              <w:t>(iii)</w:t>
            </w:r>
          </w:p>
        </w:tc>
        <w:tc>
          <w:tcPr>
            <w:tcW w:w="9904" w:type="dxa"/>
            <w:tcBorders/>
            <w:vAlign w:val="center"/>
          </w:tcPr>
          <w:p>
            <w:pPr>
              <w:pStyle w:val="TableContents"/>
              <w:bidi w:val="0"/>
              <w:spacing w:before="0" w:after="283"/>
              <w:jc w:val="both"/>
              <w:rPr/>
            </w:pPr>
            <w:r>
              <w:rPr/>
              <w:t>to indemnify each of the Trustee (acting in any capacity hereunder) and any predecessor Trustee and each of their respective directors, officers, agents and employees for, and to protect and hold each of them harmless against, any loss, damages, claims, fees, liability or expense, including taxes (other than taxes based upon, measured by or determined by the income or gain of the Trustee) and including attorneys’ fees and expenses, arising out of or in connection with the acceptance or administration of the trust or trusts or the performance of its duties hereunder, including the costs and expenses of defending itself against any claim or liability in connection with the exercise or performance of any of its powers or duties hereunder brought by the Company or any third party (and including the costs and expenses incurred with respect to enforcement of this Indenture and any provision hereof, including its right to indemnity hereunder) except to the extent any such loss, liability or expense may be attributable to its own gross negligence or willful misconduct as determined by a court of competent jurisdiction in a final non-appealable order.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security for the performance of the obligations of the Company under this Section, the Trustee shall have a lien prior to the Securities of any series upon all property and funds held or collected by the Trustee as such, except funds held in trust for the payment of principal of (or premium or Make-Whole Amount, if any) or interest on particular Securities. The Trustee’s right to receive payment of any amounts due under this Section 606 shall not be subordinate to any other liability or Debt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Trustee incurs expenses or renders services in connection with an Event of Default described in Section 501(v) and (vi), such expenses (including the fees and expenses of its counsel) and the compensation for such services are intended to constitute expenses of administration under any Bankruptcy Law.</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Article Six, as applicable, shall survive the termination of this Indenture or the resignation or removal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607. Corporate Trustee Required; Eligibility.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at all times be a Trustee hereunder that shall be eligible to act as Trustee under TIA Section 310(a)(1) and shall have a combined capital and surplus of at least $50,000,000 or be a subsidiary of a corporation that shall be a Person that has a combined capital and surplus of at least $50,000,000 and that unconditionally guarantees the obligations of the Trustee hereunder. If such Trustee or Person publishes reports of condition at least annually, pursuant to law or the requirements of Federal, State, Territorial or District of Columbia supervising or examining authority, then for the purposes of this Section, the combined capital and surplus of such Trustee or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608. Resignation and Removal; Appointment of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resignation or removal of the Trustee and no appointment of a successor Trustee pursuant to this Article shall become effective until the acceptance of appointment by the successor Trustee in accordance with the applicable requirements of Section 609.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resign at any time with respect to the Securities of one or more series by giving written notice thereof to the Company. If an instrument of acceptance by a successor Trustee shall not have been delivered to the Trustee within 30 days after the giving of such notice of resignation, the resigning Trustee may petition any court of competent jurisdiction for the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be removed upon 30 days’ notice with respect to the Securities of any series by Act of the Holders of a majority in principal amount of the Outstanding Securities of such series delivered to the Trustee and to the Company. If an instrument of acceptance by a successor Trustee has not been delivered to the Trustee within 30 days after the giving of such notice of removal, the Trustee being removed may petition, at the expense of the Company, any court of competent jurisdiction for the appointment of a successor Trustee with respect to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at any time: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20"/>
              </w:rPr>
            </w:pPr>
            <w:r>
              <w:rPr>
                <w:sz w:val="20"/>
              </w:rPr>
              <w:t>(i)</w:t>
            </w:r>
          </w:p>
        </w:tc>
        <w:tc>
          <w:tcPr>
            <w:tcW w:w="10004" w:type="dxa"/>
            <w:tcBorders/>
            <w:vAlign w:val="center"/>
          </w:tcPr>
          <w:p>
            <w:pPr>
              <w:pStyle w:val="TableContents"/>
              <w:bidi w:val="0"/>
              <w:spacing w:before="0" w:after="283"/>
              <w:jc w:val="both"/>
              <w:rPr/>
            </w:pPr>
            <w:r>
              <w:rPr/>
              <w:t>the Trustee shall fail to comply with the provisions of Section 613 or TIA Section 310(b) after written request therefor by the Company or by any Holder of a Security who has been a bona fide Holder of a Security for at least six months,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20"/>
              </w:rPr>
            </w:pPr>
            <w:r>
              <w:rPr>
                <w:sz w:val="20"/>
              </w:rPr>
              <w:t>(ii)</w:t>
            </w:r>
          </w:p>
        </w:tc>
        <w:tc>
          <w:tcPr>
            <w:tcW w:w="9943" w:type="dxa"/>
            <w:tcBorders/>
            <w:vAlign w:val="center"/>
          </w:tcPr>
          <w:p>
            <w:pPr>
              <w:pStyle w:val="TableContents"/>
              <w:bidi w:val="0"/>
              <w:spacing w:before="0" w:after="283"/>
              <w:jc w:val="both"/>
              <w:rPr/>
            </w:pPr>
            <w:r>
              <w:rPr/>
              <w:t>the Trustee shall cease to be eligible under Section 607 and shall fail to resign after written request therefor by the Company or by any Holder of a Security who has been a bona fide Holder of a Security for at least six months,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20"/>
              </w:rPr>
            </w:pPr>
            <w:r>
              <w:rPr>
                <w:sz w:val="20"/>
              </w:rPr>
              <w:t>(iii)</w:t>
            </w:r>
          </w:p>
        </w:tc>
        <w:tc>
          <w:tcPr>
            <w:tcW w:w="9902" w:type="dxa"/>
            <w:tcBorders/>
            <w:vAlign w:val="center"/>
          </w:tcPr>
          <w:p>
            <w:pPr>
              <w:pStyle w:val="TableContents"/>
              <w:bidi w:val="0"/>
              <w:spacing w:before="0" w:after="283"/>
              <w:jc w:val="both"/>
              <w:rPr/>
            </w:pPr>
            <w:r>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(A) the Company by or pursuant to a Board Resolution may remove the Trustee and appoint a successor Trustee with respect to all Securities, or (B)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609. Acceptance of Appointment By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case of the appointment hereunder of a successor Trustee with respect to all Securities, every such successor Trustee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 No resigning or removed Trustee shall have any liability or responsibility for the action or inaction of any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pursuant to Article Nine hereof, wherein each successor Trustee shall accept such appointment and that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that no Trustee shall be responsible for any notice given to, or received by, 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other than as hereinafter expressly set forth,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successor Trustee shall accept its appointment unless at the time of such acceptance such successor Trustee shall be qualified and eligible under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monies and indemnification amounts due and owing to the Trustee, shall be paid before such successor Trustee takes over.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610. Merger, Conversion, Consolidation or Succession to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case any Securities shall not have been authenticated by such predecessor Trustee, any such successor Trustee may authenticate and deliver such Securities, in either its own name or that of its predecessor Trustee, with the full force and effect that this Indenture provides for the certificate of authentication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611. Appointment of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when any of the Securities remain Outstanding, the Trustee may appoint an Authenticating Agent or Agents with respect to one or more series of Securities that shall be authorized to act on behalf of the Trustee to authenticate Securities of such series issued upon exchange, registration of transfer or partial redemption or repayment thereof or pursuant to Section 306,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reasonably acceptable to the Company and, except as may otherwise be provided pursuant to Section 301,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$25,000,000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that shall be acceptable to the Company and shall give notice of such appointment to all Holders of Securities of or within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pay to each Authenticating Agent from time to time reasonable compensation including reimbursement of its reasonable expenses for its services under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and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tbl>
      <w:tblPr>
        <w:tblW w:w="4444" w:type="dxa"/>
        <w:jc w:val="left"/>
        <w:tblInd w:w="0" w:type="dxa"/>
        <w:tblLayout w:type="fixed"/>
        <w:tblCellMar>
          <w:top w:w="0" w:type="dxa"/>
          <w:left w:w="0" w:type="dxa"/>
          <w:bottom w:w="0" w:type="dxa"/>
          <w:right w:w="0" w:type="dxa"/>
        </w:tblCellMar>
      </w:tblPr>
      <w:tblGrid>
        <w:gridCol w:w="75"/>
        <w:gridCol w:w="587"/>
        <w:gridCol w:w="3782"/>
      </w:tblGrid>
      <w:tr>
        <w:trPr/>
        <w:tc>
          <w:tcPr>
            <w:tcW w:w="75" w:type="dxa"/>
            <w:tcBorders/>
            <w:vAlign w:val="center"/>
          </w:tcPr>
          <w:p>
            <w:pPr>
              <w:pStyle w:val="TableContents"/>
              <w:bidi w:val="0"/>
              <w:spacing w:before="0" w:after="283"/>
              <w:jc w:val="left"/>
              <w:rPr/>
            </w:pPr>
            <w:r>
              <w:rPr/>
              <w:t> </w:t>
            </w:r>
          </w:p>
        </w:tc>
        <w:tc>
          <w:tcPr>
            <w:tcW w:w="43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WILMINGTON TRUST, NATIONAL ASSOCIATION,</w:t>
              <w:br/>
              <w:t>as Trustee</w:t>
            </w:r>
          </w:p>
        </w:tc>
      </w:tr>
      <w:tr>
        <w:trPr/>
        <w:tc>
          <w:tcPr>
            <w:tcW w:w="75" w:type="dxa"/>
            <w:tcBorders/>
            <w:vAlign w:val="center"/>
          </w:tcPr>
          <w:p>
            <w:pPr>
              <w:pStyle w:val="TableContents"/>
              <w:bidi w:val="0"/>
              <w:spacing w:before="0" w:after="283"/>
              <w:jc w:val="left"/>
              <w:rPr/>
            </w:pPr>
            <w:r>
              <w:rPr/>
              <w:t> </w:t>
            </w:r>
          </w:p>
        </w:tc>
        <w:tc>
          <w:tcPr>
            <w:tcW w:w="43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8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37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Authenticating Agent</w:t>
            </w:r>
          </w:p>
        </w:tc>
      </w:tr>
      <w:tr>
        <w:trPr/>
        <w:tc>
          <w:tcPr>
            <w:tcW w:w="75" w:type="dxa"/>
            <w:tcBorders/>
            <w:vAlign w:val="center"/>
          </w:tcPr>
          <w:p>
            <w:pPr>
              <w:pStyle w:val="TableContents"/>
              <w:bidi w:val="0"/>
              <w:spacing w:before="0" w:after="283"/>
              <w:jc w:val="left"/>
              <w:rPr/>
            </w:pPr>
            <w:r>
              <w:rPr/>
              <w:t> </w:t>
            </w:r>
          </w:p>
        </w:tc>
        <w:tc>
          <w:tcPr>
            <w:tcW w:w="43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8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37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612. Certain Duties and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indemnity satisfactory to the Trustee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613. Conflicting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has or shall acquire a conflicting interest within the meaning of the TIA, the Trustee shall either eliminate such interest or resign, to the extent and in the manner provided by, and subject to the provisions of, the TIA and this Indenture. To the extent permitted by the TIA, the Trustee shall not be deemed to have a conflicting interest by virtue of being a trustee under this Indenture with respect to Securities of more than one series.</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614. Appointment of Co-Trustee.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Every such separate trustee and co-trustee shall, to the extent permitted by law, be appointed and act subject to the following provisions and conditions: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20"/>
              </w:rPr>
            </w:pPr>
            <w:r>
              <w:rPr>
                <w:sz w:val="20"/>
              </w:rPr>
              <w:t>(i)</w:t>
            </w:r>
          </w:p>
        </w:tc>
        <w:tc>
          <w:tcPr>
            <w:tcW w:w="10022" w:type="dxa"/>
            <w:tcBorders/>
            <w:vAlign w:val="center"/>
          </w:tcPr>
          <w:p>
            <w:pPr>
              <w:pStyle w:val="TableContents"/>
              <w:bidi w:val="0"/>
              <w:spacing w:before="0" w:after="283"/>
              <w:jc w:val="both"/>
              <w:rPr/>
            </w:pPr>
            <w:r>
              <w:rPr/>
              <w:t>all rights, powers, duties and obligations conferred or imposed upon the Trustee shall be conferred or imposed upon and exercised or performed by the Trustee and such separate trustee or co-trustee jointly (it being understood that such separate trustee or co-trustee is not authorized to act separately without the Trustee joining in such act), except to the extent that under any law of any jurisdiction in which any particular act or acts are to be performed, the Trustee shall be incompetent or unqualified to perform such act or acts, in which event such rights, powers, duties and obligations (including the holding of title to the trust estate created hereunder or any portion thereof in any such jurisdiction) shall be exercised and performed singly by such separate trustee or co-trustee, but solely at the direction of the Trustee;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20"/>
              </w:rPr>
            </w:pPr>
            <w:r>
              <w:rPr>
                <w:sz w:val="20"/>
              </w:rPr>
              <w:t>(ii)</w:t>
            </w:r>
          </w:p>
        </w:tc>
        <w:tc>
          <w:tcPr>
            <w:tcW w:w="9914" w:type="dxa"/>
            <w:tcBorders/>
            <w:vAlign w:val="center"/>
          </w:tcPr>
          <w:p>
            <w:pPr>
              <w:pStyle w:val="TableContents"/>
              <w:bidi w:val="0"/>
              <w:spacing w:before="0" w:after="283"/>
              <w:jc w:val="both"/>
              <w:rPr/>
            </w:pPr>
            <w:r>
              <w:rPr/>
              <w:t>no trustee hereunder shall be personally liable by reason of any act or omission of any other trustee hereunder;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41"/>
        <w:gridCol w:w="9824"/>
      </w:tblGrid>
      <w:tr>
        <w:trPr/>
        <w:tc>
          <w:tcPr>
            <w:tcW w:w="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20"/>
              </w:rPr>
            </w:pPr>
            <w:r>
              <w:rPr>
                <w:sz w:val="20"/>
              </w:rPr>
              <w:t>(iii)</w:t>
            </w:r>
          </w:p>
        </w:tc>
        <w:tc>
          <w:tcPr>
            <w:tcW w:w="9824" w:type="dxa"/>
            <w:tcBorders/>
            <w:vAlign w:val="center"/>
          </w:tcPr>
          <w:p>
            <w:pPr>
              <w:pStyle w:val="TableContents"/>
              <w:bidi w:val="0"/>
              <w:spacing w:before="0" w:after="283"/>
              <w:jc w:val="both"/>
              <w:rPr/>
            </w:pPr>
            <w:r>
              <w:rPr/>
              <w:t>the Trustee may at any time accept the resignation of or remove any separate trustee or co-trustee.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notice, request or other writing given to the Trustee shall be deemed to have been given to each of the then separate trustees and co-trustees, as effectively as if given to each of them. Every instrument appointing any separate trustee or co-trustee shall refer to this Indenture and the conditions of this Article Six.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such separate trustee and co-trustee, upon its acceptance of the trusts conferred, shall be vested with the estates or property specified in its instrument of appointment, either jointly with the Trustee or separately, as may be provided therein, subject to all the provisions of this Indenture, specifically including every provision of this Indenture relating to the conduct of, affecting the liability of, or affording protection or rights (including the rights to compensation, reimbursement and indemnification hereunder) to, the Trustee. Every such instrument shall be filed with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SEVEN</w:t>
        <w:br/>
        <w:t>HOLDERS’ LISTS AND REPORTS BY TRUSTEE AND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701. Disclosure of Names and Addresses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Holder of Securities, by receiving and holding the same, agrees with the Company and the Trustee that neither the Company nor the Trustee nor any Authenticating Agent nor any Paying Agent nor any Security Registrar nor any director, officer, agent or employee of any of them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any material pursuant to a request made under TIA Section 312(b).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702. Reports by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promptly as practicable after each June 15 beginning with the June 15 following the date of this Indenture and in any event prior to August 15 in each year, so long as any Securities remain Outstanding hereunder, the Trustee shall mail to each Holder a brief report dated as of June 15 that complies with Trust Indenture Act Section 313(a) (but if no event described in the Trust Indenture Act Section 313(a) has occurred within the twelve months preceding the reporting date, no report need be transmitted).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also shall comply with Trust Indenture Act Sections 313(b) and 313(c).</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transmit the reports required by Section 313(a) of the Trust Indenture Act at the times specified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Reports under this Section will be transmitted in the manner and to the Persons required by Section 313(c) and Section 313(d)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Prior to delivery to the Holders, the Trustee shall deliver to the Company a copy of any report it delivers to Holders pursuant to this Section 702;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 recourse may be taken against the Trustee for its failure to deliver a copy of such report to the Company prior to its delivery of the report to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will notify the Trustee when any Securities are listed on any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703. Reports by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file with the Trustee and the Commission, and transmit to Holders, such information, documents and other reports, and such summaries thereof, as may be required pursuant to the Trust Indenture Act at the times and in the manner provided pursuant to such act; provided that any such information, documents or reports required to be filed with the Commission pursuant to Section 13 or 15(d) of the Exchange Act shall be filed with the Trustee within 15 days after the same is so required to be filed with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such reports, information and documents to the Trustee is for informational purposes only and the Trustee’s receipt of such shall not constitute actual or constructive knowledge or other notice of any information contained therein or determinable from information contained therein, including the Company’s compliance with any of its covenants hereunder (as to which the Trustee is entitled to rely exclusively on Officers’ Certificates). The Trustee shall have no duty to review or analyze reports delivered to it. Notwithstanding the foregoing, to the extent any of the information required by this Section 703 is filed by the Company with the Commission and publicly available on the Commission’s EDGAR system (or any successor system thereto), then such information shall be deemed to be filed with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704. Company to Furnish Trustee Names and Addresses of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furnish or cause to be furnished to the Trustee: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20"/>
              </w:rPr>
            </w:pPr>
            <w:r>
              <w:rPr>
                <w:sz w:val="20"/>
              </w:rPr>
              <w:t>(i)</w:t>
            </w:r>
          </w:p>
        </w:tc>
        <w:tc>
          <w:tcPr>
            <w:tcW w:w="10018" w:type="dxa"/>
            <w:tcBorders/>
            <w:vAlign w:val="center"/>
          </w:tcPr>
          <w:p>
            <w:pPr>
              <w:pStyle w:val="TableContents"/>
              <w:bidi w:val="0"/>
              <w:spacing w:before="0" w:after="283"/>
              <w:jc w:val="both"/>
              <w:rPr/>
            </w:pPr>
            <w:r>
              <w:rPr/>
              <w:t>with respect to each series of Securities, quarterly or semi-annually (as applicable), not later than 15 days after the Regular Record Date for interest for such series of Securities, a list, in such form as the Trustee may reasonably require, of the names and addresses of the Holders of Registered Securities of such series as of such Regular Record Date, or if there is no Regular Record Date for interest for such series of Securities, semi-annually, upon such dates as are set forth in the Board Resolution or indenture supplemental hereto authorizing such series,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20"/>
              </w:rPr>
            </w:pPr>
            <w:r>
              <w:rPr>
                <w:sz w:val="20"/>
              </w:rPr>
              <w:t>(ii)</w:t>
            </w:r>
          </w:p>
        </w:tc>
        <w:tc>
          <w:tcPr>
            <w:tcW w:w="9952" w:type="dxa"/>
            <w:tcBorders/>
            <w:vAlign w:val="center"/>
          </w:tcPr>
          <w:p>
            <w:pPr>
              <w:pStyle w:val="TableContents"/>
              <w:bidi w:val="0"/>
              <w:spacing w:before="0" w:after="283"/>
              <w:jc w:val="both"/>
              <w:rPr/>
            </w:pPr>
            <w:r>
              <w:rPr/>
              <w:t xml:space="preserve">at such other times as the Trustee may request in writing, within 30 days after the receipt by the Company of any such request, a list of similar form and content as of a date not more than 15 days prior to the time such list is furnished, </w:t>
            </w:r>
            <w:r>
              <w:rPr>
                <w:i/>
              </w:rPr>
              <w:t>provided</w:t>
            </w:r>
            <w:r>
              <w:rPr/>
              <w:t xml:space="preserve">, </w:t>
            </w:r>
            <w:r>
              <w:rPr>
                <w:i/>
              </w:rPr>
              <w:t>however</w:t>
            </w:r>
            <w:r>
              <w:rPr/>
              <w:t>, that, so long as the Trustee is the Security Registrar, no such lists shall be required to be furnished.</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EIGHT</w:t>
        <w:br/>
        <w:t>CONSOLIDATION, MERGER, SALE, LEASE OR CONVEYANCE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801. Consolidations and Mergers of Company and Sales, Leases and Conveyances Permitted Subject to Certain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consolidate with, or sell, lease or convey all or substantially all of its assets to, or merge with or into any other Person, provided that in any such case, (i) either the Company shall be the continuing entity, or the successor (if other than the Company) entity shall be a Person organized and existing under the laws of the United States or a State thereof or the District of Columbia and such successor entity shall expressly assume the due and punctual payment of the principal of (and premium or Make-Whole Amount, if any) and any interest (including all Additional Amounts, if any, payable pursuant to Section 1008) on all of the Securities, according to their tenor, or as otherwise specified pursuant to Section 301, and the due and punctual performance and observance of all of the covenants and conditions of this Indenture to be performed by the Company by supplemental indenture, complying with Article Nine hereof, in form satisfactory to the Trustee, executed and delivered to the Trustee by such Person and (ii) immediately after giving effect to such transaction, no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802. Rights and Duties of Successor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of any such consolidation, merger, sale, lease or conveyance and upon any such assumption by the successor entity, such successor entity shall succeed to and be substituted for the Company, with the same effect as if it had been named herein as the party of the first part, and the predecessor entity, except in the event of a lease, shall be relieved of any further obligation under this Indenture and the Securities;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Company is the surviving or successor entity in any such transaction, no succession or substitution shall occur and the Company shall continue to be bound by, and entitled to the benefits of, all the terms, conditions and provisions of this Indenture. Such successor entity thereupon may cause to be signed, and may issue either in its own name or in the name of the Company, any or all of the Securities issuable hereunder that theretofore shall not have been signed by the Company and delivered to the Trustee; and, upon the order of such successor entity, instead of the Company, and subject to all the terms, conditions and limitations in this Indenture prescribed, the Trustee shall authenticate and shall deliver any Securities that previously shall have been signed and delivered by the officers of the Company to the Trustee for authentication, and any Securities that such successor entity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such consolidation, merger, sale, lease or conveyance, such changes in phraseology and form (but not in substance) may be made in the Securities thereafter to be issued as may be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803. Officers’ Certificate and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consolidation, merger, sale, lease or conveyance permitted under Section 801 is also subject to the condition that the Trustee receive an Officers’ Certificate and an Opinion of Counsel to the effect that any such consolidation, merger, sale, lease or conveyance, and the assumption by any successor entity, comply with the provisions of this Article and that all conditions precedent herein provided for relating to such transaction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NINE</w:t>
        <w:br/>
        <w:t>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901. Supplemental Indentures without Consent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any Holders of Securities, the Company, when authorized by or pursuant to a Board Resolution, and the Trustee, at any time and from time to time, may enter into one or more indentures supplemental hereto, in form satisfactory to the Trustee, for any of the following purposes: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20"/>
              </w:rPr>
            </w:pPr>
            <w:r>
              <w:rPr>
                <w:sz w:val="20"/>
              </w:rPr>
              <w:t>(i)</w:t>
            </w:r>
          </w:p>
        </w:tc>
        <w:tc>
          <w:tcPr>
            <w:tcW w:w="9995" w:type="dxa"/>
            <w:tcBorders/>
            <w:vAlign w:val="center"/>
          </w:tcPr>
          <w:p>
            <w:pPr>
              <w:pStyle w:val="TableContents"/>
              <w:bidi w:val="0"/>
              <w:spacing w:before="0" w:after="283"/>
              <w:jc w:val="both"/>
              <w:rPr/>
            </w:pPr>
            <w:r>
              <w:rPr/>
              <w:t>to evidence the succession of another Person to the Company and the assumption by any such successor of the covenants of the Company herein and in the Securities contained;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20"/>
              </w:rPr>
            </w:pPr>
            <w:r>
              <w:rPr>
                <w:sz w:val="20"/>
              </w:rPr>
              <w:t>(ii)</w:t>
            </w:r>
          </w:p>
        </w:tc>
        <w:tc>
          <w:tcPr>
            <w:tcW w:w="9952" w:type="dxa"/>
            <w:tcBorders/>
            <w:vAlign w:val="center"/>
          </w:tcPr>
          <w:p>
            <w:pPr>
              <w:pStyle w:val="TableContents"/>
              <w:bidi w:val="0"/>
              <w:spacing w:before="0" w:after="283"/>
              <w:jc w:val="both"/>
              <w:rPr/>
            </w:pPr>
            <w:r>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20"/>
              </w:rPr>
            </w:pPr>
            <w:r>
              <w:rPr>
                <w:sz w:val="20"/>
              </w:rPr>
              <w:t>(iii)</w:t>
            </w:r>
          </w:p>
        </w:tc>
        <w:tc>
          <w:tcPr>
            <w:tcW w:w="9902" w:type="dxa"/>
            <w:tcBorders/>
            <w:vAlign w:val="center"/>
          </w:tcPr>
          <w:p>
            <w:pPr>
              <w:pStyle w:val="TableContents"/>
              <w:bidi w:val="0"/>
              <w:spacing w:before="0" w:after="283"/>
              <w:jc w:val="both"/>
              <w:rPr/>
            </w:pPr>
            <w:r>
              <w:rPr/>
              <w:t xml:space="preserve">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i/>
              </w:rPr>
              <w:t>provided</w:t>
            </w:r>
            <w:r>
              <w:rPr/>
              <w:t xml:space="preserve">, </w:t>
            </w:r>
            <w:r>
              <w:rPr>
                <w:i/>
              </w:rPr>
              <w:t>however</w:t>
            </w:r>
            <w:r>
              <w:rPr/>
              <w:t>,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20"/>
              </w:rPr>
            </w:pPr>
            <w:r>
              <w:rPr>
                <w:sz w:val="20"/>
              </w:rPr>
              <w:t>(iv)</w:t>
            </w:r>
          </w:p>
        </w:tc>
        <w:tc>
          <w:tcPr>
            <w:tcW w:w="9912" w:type="dxa"/>
            <w:tcBorders/>
            <w:vAlign w:val="center"/>
          </w:tcPr>
          <w:p>
            <w:pPr>
              <w:pStyle w:val="TableContents"/>
              <w:bidi w:val="0"/>
              <w:spacing w:before="0" w:after="283"/>
              <w:jc w:val="both"/>
              <w:rPr/>
            </w:pPr>
            <w:r>
              <w:rPr/>
              <w:t>to add to, change or eliminate any of the provisions of this Indenture in respect of any series of Securities, provided that any such addition, change or elimination shall (A) neither (x) apply to any Security of any series created prior to the execution of such supplemental indenture and entitled to the benefit of such provision, nor (y) modify the rights of the Holder of any such Security with respect to such provision; or (B) become effective only when there is no Security Outstanding;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8"/>
        <w:gridCol w:w="895"/>
        <w:gridCol w:w="9172"/>
      </w:tblGrid>
      <w:tr>
        <w:trPr/>
        <w:tc>
          <w:tcPr>
            <w:tcW w:w="13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20"/>
              </w:rPr>
            </w:pPr>
            <w:r>
              <w:rPr>
                <w:sz w:val="20"/>
              </w:rPr>
              <w:t>(v)</w:t>
            </w:r>
          </w:p>
        </w:tc>
        <w:tc>
          <w:tcPr>
            <w:tcW w:w="9172" w:type="dxa"/>
            <w:tcBorders/>
            <w:vAlign w:val="center"/>
          </w:tcPr>
          <w:p>
            <w:pPr>
              <w:pStyle w:val="TableContents"/>
              <w:bidi w:val="0"/>
              <w:spacing w:before="0" w:after="283"/>
              <w:jc w:val="both"/>
              <w:rPr/>
            </w:pPr>
            <w:r>
              <w:rPr/>
              <w:t>to secure the Securities;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20"/>
              </w:rPr>
            </w:pPr>
            <w:r>
              <w:rPr>
                <w:sz w:val="20"/>
              </w:rPr>
              <w:t>(vi)</w:t>
            </w:r>
          </w:p>
        </w:tc>
        <w:tc>
          <w:tcPr>
            <w:tcW w:w="9899" w:type="dxa"/>
            <w:tcBorders/>
            <w:vAlign w:val="center"/>
          </w:tcPr>
          <w:p>
            <w:pPr>
              <w:pStyle w:val="TableContents"/>
              <w:bidi w:val="0"/>
              <w:spacing w:before="0" w:after="283"/>
              <w:jc w:val="both"/>
              <w:rPr/>
            </w:pPr>
            <w:r>
              <w:rPr/>
              <w:t>to establish the form or terms of Securities of any series as permitted by Sections 201 and 301, including the provisions and procedures relating to Securities convertible into or exchangeable for other securities or property of the Company;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2"/>
        <w:gridCol w:w="9846"/>
      </w:tblGrid>
      <w:tr>
        <w:trPr/>
        <w:tc>
          <w:tcPr>
            <w:tcW w:w="3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20"/>
              </w:rPr>
            </w:pPr>
            <w:r>
              <w:rPr>
                <w:sz w:val="20"/>
              </w:rPr>
              <w:t>(vii)</w:t>
            </w:r>
          </w:p>
        </w:tc>
        <w:tc>
          <w:tcPr>
            <w:tcW w:w="9846" w:type="dxa"/>
            <w:tcBorders/>
            <w:vAlign w:val="center"/>
          </w:tcPr>
          <w:p>
            <w:pPr>
              <w:pStyle w:val="TableContents"/>
              <w:bidi w:val="0"/>
              <w:spacing w:before="0" w:after="283"/>
              <w:jc w:val="both"/>
              <w:rPr/>
            </w:pPr>
            <w:r>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75"/>
        <w:gridCol w:w="9793"/>
      </w:tblGrid>
      <w:tr>
        <w:trPr/>
        <w:tc>
          <w:tcPr>
            <w:tcW w:w="3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20"/>
              </w:rPr>
            </w:pPr>
            <w:r>
              <w:rPr>
                <w:sz w:val="20"/>
              </w:rPr>
              <w:t>(viii)</w:t>
            </w:r>
          </w:p>
        </w:tc>
        <w:tc>
          <w:tcPr>
            <w:tcW w:w="9793" w:type="dxa"/>
            <w:tcBorders/>
            <w:vAlign w:val="center"/>
          </w:tcPr>
          <w:p>
            <w:pPr>
              <w:pStyle w:val="TableContents"/>
              <w:bidi w:val="0"/>
              <w:spacing w:before="0" w:after="283"/>
              <w:jc w:val="both"/>
              <w:rPr/>
            </w:pPr>
            <w:r>
              <w:rPr/>
              <w:t>to cure any ambiguity, to correct or supplement any provision herein which may be defective or inconsistent with any other provision herein, or to make any other provisions with respect to matters or questions arising under this Indenture that shall not be inconsistent with the provisions of this Indenture or to make any other changes, provided that in each case, such provisions shall not adversely affect the interests of the Holders of Securities of any series in any material respect as determined in good faith by the Board of Directors;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20"/>
              </w:rPr>
            </w:pPr>
            <w:r>
              <w:rPr>
                <w:sz w:val="20"/>
              </w:rPr>
              <w:t>(ix)</w:t>
            </w:r>
          </w:p>
        </w:tc>
        <w:tc>
          <w:tcPr>
            <w:tcW w:w="9890" w:type="dxa"/>
            <w:tcBorders/>
            <w:vAlign w:val="center"/>
          </w:tcPr>
          <w:p>
            <w:pPr>
              <w:pStyle w:val="TableContents"/>
              <w:bidi w:val="0"/>
              <w:spacing w:before="0" w:after="283"/>
              <w:jc w:val="both"/>
              <w:rPr/>
            </w:pPr>
            <w:r>
              <w:rPr/>
              <w:t>to close this Indenture with respect to the authentication and delivery of additional series of Securities or to qualify, or maintain qualification of, this Indenture under the TIA;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20"/>
              </w:rPr>
            </w:pPr>
            <w:r>
              <w:rPr>
                <w:sz w:val="20"/>
              </w:rPr>
              <w:t>(x)</w:t>
            </w:r>
          </w:p>
        </w:tc>
        <w:tc>
          <w:tcPr>
            <w:tcW w:w="9969" w:type="dxa"/>
            <w:tcBorders/>
            <w:vAlign w:val="center"/>
          </w:tcPr>
          <w:p>
            <w:pPr>
              <w:pStyle w:val="TableContents"/>
              <w:bidi w:val="0"/>
              <w:spacing w:before="0" w:after="283"/>
              <w:jc w:val="both"/>
              <w:rPr/>
            </w:pPr>
            <w:r>
              <w:rPr/>
              <w:t>to supplement any of the provisions of this Indenture to such extent as shall be necessary to permit or facilitate the defeasance and discharge of any series of Securities pursuant to Sections 401, 1302 and 1303; provided in each case that any such action shall not adversely affect the interests of the Holders of Securities of such series or any other series of Securities in any material respect;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721"/>
        <w:gridCol w:w="9406"/>
      </w:tblGrid>
      <w:tr>
        <w:trPr/>
        <w:tc>
          <w:tcPr>
            <w:tcW w:w="7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pPr>
            <w:r>
              <w:rPr/>
              <w:t>(xi)</w:t>
            </w:r>
          </w:p>
        </w:tc>
        <w:tc>
          <w:tcPr>
            <w:tcW w:w="9406" w:type="dxa"/>
            <w:tcBorders/>
            <w:vAlign w:val="center"/>
          </w:tcPr>
          <w:p>
            <w:pPr>
              <w:pStyle w:val="TableContents"/>
              <w:bidi w:val="0"/>
              <w:spacing w:before="0" w:after="283"/>
              <w:jc w:val="both"/>
              <w:rPr/>
            </w:pPr>
            <w:r>
              <w:rPr/>
              <w:t>to add a guarantor with respect to the Securities.</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902. Supplemental Indentures with Consent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Trustee may (i) amend or supplement this Indenture or the Securities without notice to any Holder of Securities but with the written consent of the Holders of a majority in aggregate principal amount of the Securities of all series then Outstanding or (ii) supplement this Indenture with regard to a series of Securities, amend or supplement a supplemental indenture relating to a series of Securities, or amend the Securities of a series, without notice to any Holder of Securities but with the written consent of the Holders of a majority in aggregate principal amount of the Securities of that series then Outstanding. The Holders of a majority in principal amount of the Securities of all series then Outstanding may waive compliance by the Company with any provision of this Indenture or the Securities without notice to any Holder of Securities. The Holders of a majority in principal amount of the Securities of any series then Outstanding may waive compliance with any provision of this Indenture, any supplemental indenture or the Securities of that series with regard to the Securities of that series without notice to any Holder of Securities. However, without the consent of the Holder of each Outstanding Security affected thereby, no amendment, supplement or waiver may: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20"/>
              </w:rPr>
            </w:pPr>
            <w:r>
              <w:rPr>
                <w:sz w:val="20"/>
              </w:rPr>
              <w:t>(i)</w:t>
            </w:r>
          </w:p>
        </w:tc>
        <w:tc>
          <w:tcPr>
            <w:tcW w:w="10024" w:type="dxa"/>
            <w:tcBorders/>
            <w:vAlign w:val="center"/>
          </w:tcPr>
          <w:p>
            <w:pPr>
              <w:pStyle w:val="TableContents"/>
              <w:bidi w:val="0"/>
              <w:spacing w:before="0" w:after="283"/>
              <w:jc w:val="both"/>
              <w:rPr/>
            </w:pPr>
            <w:r>
              <w:rPr/>
              <w:t>change the Stated Maturity of the principal of (or premium or Make-Whole Amount, if any, on) or any installment of principal of or interest on, any Security; or reduce the principal amount thereof or the rate or amount of interest thereon or any Additional Amounts payable in respect thereof, or any premium or Make-Whole Amount payable upon the redemption thereof, or change any obligation of the Company to pay Additional Amounts pursuant to Section 1008 (except as contemplated by Section 801(i) and permitted by Section 901(i)), or reduce the amount of the principal of an Original Issue Discount Security or Make-Whole Amount, if any, that would be due and payable upon a declaration of acceleration of the Maturity thereof pursuant to Section 502 or the amount thereof provable in bankruptcy pursuant to Section 504, or change any Place of Payment where, or the currency or currencies, currency unit or units or composite currency or currencies in which, the principal of any Security or any premium or Make-Whole Amount or any Additional Amounts payable in respect thereof or the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20"/>
              </w:rPr>
            </w:pPr>
            <w:r>
              <w:rPr>
                <w:sz w:val="20"/>
              </w:rPr>
              <w:t>(ii)</w:t>
            </w:r>
          </w:p>
        </w:tc>
        <w:tc>
          <w:tcPr>
            <w:tcW w:w="9956" w:type="dxa"/>
            <w:tcBorders/>
            <w:vAlign w:val="center"/>
          </w:tcPr>
          <w:p>
            <w:pPr>
              <w:pStyle w:val="TableContents"/>
              <w:bidi w:val="0"/>
              <w:spacing w:before="0" w:after="283"/>
              <w:jc w:val="both"/>
              <w:rPr/>
            </w:pPr>
            <w:r>
              <w:rPr/>
              <w:t>reduce the percentage in principal amount of the Outstanding Securities of any series, the consent of whose Holders is required for any such supplemental indenture, or the consent of whose Holders is required for any waiver with respect to such series (or compliance with certain provisions of this Indenture or certain defaults hereunder and their consequences) provided for in this Indenture; or reduce the requirements of Section 1404 for quorum or voting;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20"/>
              </w:rPr>
            </w:pPr>
            <w:r>
              <w:rPr>
                <w:sz w:val="20"/>
              </w:rPr>
              <w:t>(iii)</w:t>
            </w:r>
          </w:p>
        </w:tc>
        <w:tc>
          <w:tcPr>
            <w:tcW w:w="9890" w:type="dxa"/>
            <w:tcBorders/>
            <w:vAlign w:val="center"/>
          </w:tcPr>
          <w:p>
            <w:pPr>
              <w:pStyle w:val="TableContents"/>
              <w:bidi w:val="0"/>
              <w:spacing w:before="0" w:after="283"/>
              <w:jc w:val="both"/>
              <w:rPr/>
            </w:pPr>
            <w:r>
              <w:rPr/>
              <w:t>modify any of the provisions of this Section, Section 513 or Section 1009, except to increase the required percentage to effect such action or to provide that certain other provisions of this Indenture cannot be modified or waived without the consent of the Holder of each Outstanding Security affected thereby;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20"/>
              </w:rPr>
            </w:pPr>
            <w:r>
              <w:rPr>
                <w:sz w:val="20"/>
              </w:rPr>
              <w:t>(iv)</w:t>
            </w:r>
          </w:p>
        </w:tc>
        <w:tc>
          <w:tcPr>
            <w:tcW w:w="9897" w:type="dxa"/>
            <w:tcBorders/>
            <w:vAlign w:val="center"/>
          </w:tcPr>
          <w:p>
            <w:pPr>
              <w:pStyle w:val="TableContents"/>
              <w:bidi w:val="0"/>
              <w:spacing w:before="0" w:after="283"/>
              <w:jc w:val="both"/>
              <w:rPr/>
            </w:pPr>
            <w:r>
              <w:rPr/>
              <w:t>make any change that adversely affects the right to convert or exchange any Security pursuant to Section 301 or decrease the conversion or exchange rate or increase the conversion or exchange price of any such Security.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any Act of Holders under this Section to approve the particular form of any proposed supplemental indenture, but it shall be sufficient if such Act shall approve the substance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supplemental indenture that changes or eliminates any covenant or other provision of this Indenture that has expressly been included for the benefit of one or more particular series of Securities, or that modifies the rights of the Holders of Securities of such series with respect to such covenant or other provision, shall be deemed not to affect the rights under this Indenture of the Holders of Securities of any other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903. Execution of 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executing, or accepting the additional trusts created by, any supplemental indenture permitted by this Article or the modification thereby of the trusts created by this Indenture, the Trustee shall be entitled to receive, and shall be fully protected in relying upon, an Opinion of Counsel and an Officers’ Certificate stating that the execution of such supplemental indenture is authorized or permitted by this Indenture, that all conditions precedent to the execution of such supplemental indenture have been complied with and that such supplemental indenture is the legal, valid and binding obligation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with respect to the first supplemental indenture, which is being executed and delivered substantially simultaneously with, or immediately following, the execution and delivery hereof, the Trustee is not required to receive, and may conclusively rely upon the execution and delivery of the first supplemental indenture without receiving, an Opinion of Counsel stating that the execution of such supplemental indenture is authorized or permitted by this Indenture and that all conditions precedent to the execution of such supplemental indenture have been complied with. The Trustee may, but shall not be obligated to, enter into any such supplemental indenture that affects the Trustee’s own rights, duties or immunities under this Indenture or otherwise.</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904. Effect of 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905. Conformity with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supplemental indenture executed pursuant to this Article shall conform to the requirements of the TIA as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Reference in Securities to 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907. Notice of 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the execution by the Company and the Trustee of any supplemental indenture pursuant to the provisions of Section 902, the Company shall give notice thereof to the Holders of each Outstanding Security affected, in the manner provided for in Section 106, setting forth in general terms the substance of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908. Subordination Unimpaired.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in any supplemental indenture that affects the superior position of the holders of Senior Debt shall be effective against holders of Senior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TEN</w:t>
        <w:b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1001. Payment of Principal, Premium or Make-Whole Amount, if any, Interest and Additional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for the benefit of the Holders of each series of Securities that it will duly and punctually pay the principal of (and premium or Make-Whole Amount, if any) and interest on and any Additional Amounts payable in respect of the Securities of that series in accordance with the terms of such series of Securities and this Indenture. Unless otherwise specified with respect to Securities of any series pursuant to Section 301, at the option of the Company, all payments of principal may be paid by check to the registered Holder of the Registered Security or other Person entitled thereto against surrender of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1002. Maintenance of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of a series are issuable only as Registered Securities, the Company shall maintain in each Place of Payment for any series of Securities an office or agency where Securities of that series may be presented or surrendered for payment or conversion,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each such office or agency. If at any time the Company shall fail to maintain any such required office or agency or shall fail to furnish the Trustee with the address thereof, such presentations, surrenders, notices and demands (but not service of process) may be made or served at the Corporate Trust Office.</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from time to time designate one or more other offices or agencies where the Securities of one or more series may be presented or surrendered for any or all of such purposes, and may from time to time rescind such designations;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with respect to any Securities pursuant to Section 301, if and so long as the Securities of any series (i) are denominated in a Foreign Currency or (ii) may be payable in a Foreign Currency, or so long as it is required under any other provision of the Indenture, then the Company will maintain with respect to each such series of Securities, or as so required, at least one exchange rate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1003. Money for Securities Payments to Be Held in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at any time act as its own Paying Agent with respect to any series of any Securities, it will, on or before each due date of the principal of (and premium or Make-Whole Amount, if any), or interest on or Additional Amounts in respect of, any of the Securities of that series, segregate and hold in trust for the benefit of the Persons entitled thereto a sum in the currency or currencies, currency unit or units or composite currency or currencies in which the Securities of such series are payable (except as otherwise specified pursuant to Section 301 for the Securities of such series) sufficient to pay the principal (and premium or Make-Whole Amount, if any) or interest or Additional Amounts so becoming due until such sums shall be paid to such Persons or otherwise disposed of as herein provided, and will promptly notify the Trustee of its action or failure so to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Company shall have one or more Paying Agents for any series of Securities, it will, on or before each due date of the principal of (and premium or Make-Whole Amount, if any), or interest on or Additional Amounts in respect of, any Securities of that series, deposit with a Paying Agent a sum (in the currency or currencies, currency unit or units or composite currency or currencies described in the preceding paragraph) sufficient to pay the principal (and premium or Make-Whole Amount, if any) or interest or Additional Amounts, so becoming due, such sum to be held in trust for the benefit of the Persons entitled to such principal, premium, Make-Whole Amount or interest or Additional Amounts and (unless such Paying Agent is the Trustee) the Company will promptly notify the Trustee of its action or failure so to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cause each Paying Agent other than the Trustee to execute and deliver to the Trustee an instrument in which such Paying Agent shall agree with the Trustee, subject to the provisions of this Section, that such Paying Agent will: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20"/>
              </w:rPr>
            </w:pPr>
            <w:r>
              <w:rPr>
                <w:sz w:val="20"/>
              </w:rPr>
              <w:t>(i)</w:t>
            </w:r>
          </w:p>
        </w:tc>
        <w:tc>
          <w:tcPr>
            <w:tcW w:w="10009" w:type="dxa"/>
            <w:tcBorders/>
            <w:vAlign w:val="center"/>
          </w:tcPr>
          <w:p>
            <w:pPr>
              <w:pStyle w:val="TableContents"/>
              <w:bidi w:val="0"/>
              <w:spacing w:before="0" w:after="283"/>
              <w:jc w:val="both"/>
              <w:rPr/>
            </w:pPr>
            <w:r>
              <w:rPr/>
              <w:t>hold all sums held by it for the payment of principal of (and premium or Make-Whole Amount, if any) or interest on Securities or Additional Amounts in trust for the benefit of the Persons entitled thereto until such sums shall be paid to such Persons or otherwise disposed of as herein provided;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20"/>
              </w:rPr>
            </w:pPr>
            <w:r>
              <w:rPr>
                <w:sz w:val="20"/>
              </w:rPr>
              <w:t>(ii)</w:t>
            </w:r>
          </w:p>
        </w:tc>
        <w:tc>
          <w:tcPr>
            <w:tcW w:w="9944" w:type="dxa"/>
            <w:tcBorders/>
            <w:vAlign w:val="center"/>
          </w:tcPr>
          <w:p>
            <w:pPr>
              <w:pStyle w:val="TableContents"/>
              <w:bidi w:val="0"/>
              <w:spacing w:before="0" w:after="283"/>
              <w:jc w:val="both"/>
              <w:rPr/>
            </w:pPr>
            <w:r>
              <w:rPr/>
              <w:t>give the Trustee written notice of any default by the Company (or any other obligor upon the Securities) in the making of any such payment of principal (and premium or Make-Whole Amount, if any) or interest or Additional Amounts;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4"/>
        <w:gridCol w:w="9874"/>
      </w:tblGrid>
      <w:tr>
        <w:trPr/>
        <w:tc>
          <w:tcPr>
            <w:tcW w:w="3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20"/>
              </w:rPr>
            </w:pPr>
            <w:r>
              <w:rPr>
                <w:sz w:val="20"/>
              </w:rPr>
              <w:t>(iii)</w:t>
            </w:r>
          </w:p>
        </w:tc>
        <w:tc>
          <w:tcPr>
            <w:tcW w:w="9874" w:type="dxa"/>
            <w:tcBorders/>
            <w:vAlign w:val="center"/>
          </w:tcPr>
          <w:p>
            <w:pPr>
              <w:pStyle w:val="TableContents"/>
              <w:bidi w:val="0"/>
              <w:spacing w:before="0" w:after="283"/>
              <w:jc w:val="both"/>
              <w:rPr/>
            </w:pPr>
            <w:r>
              <w:rPr/>
              <w:t>at any time during the continuance of any such default upon the written request of the Trustee, forthwith pay to the Trustee all sums so held in trust by such Paying Agent.</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except as otherwise provided in the Securities of any series, any money deposited with the Trustee or any Paying Agent, or then held by the Company, in trust for the payment of the principal of (and premium or Make-Whole Amount, if any) or interest on, or any Additional Amounts in respect of, any Security of any series and remaining unclaimed for two years after such principal (and premium or Make-Whole Amount, if any), interest or Additional Amounts has become due and payable shall be paid to the Company upon Company Request or (if then held by the Company) shall be discharged from such trust; and the Holder of such Security shall thereafter, as an unsecured general creditor, look only to the Company for payment of such principal of (and premium or Make-Whole Amount, if any) or interest on, or any Additional Amounts in respect of, any Security, without interest thereon, and all liability of the Trustee or such Paying Agent with respect to such trust money, and all liability of the Company as trustee thereof, shall thereupon cease.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1004.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Article Eight, the Company will do or cause to be done all things necessary to preserve and keep in full force and effect the existence, material rights (charter and statutory) and material franchises of the Company and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not be required to preserve any right or franchise if the Company shall determine that the preservation thereof is no longer desirable in the conduct of the business of the Company and its Subsidiaries as a whole or that the loss thereof is not disadvantageous in any material respect to the Holders of Securities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1005. Maintenance of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cause all of its material properties used or useful in the conduct of its business to be maintained and kept in good condition, repair and working order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the avoidance of doubt, nothing in this Section shall prevent the Company from selling or otherwise disposing of its properties in any transaction that is, in the judgment of the Company, desirable in the conduct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1006. Payment of Taxes and Other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pay or discharge or cause to be paid or discharged, before the same shall become delinquent, all material taxes, assessments and governmental charges levied or imposed upon it or any Subsidiary or upon the income, profits or property of the Company or any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not be required to pay or discharge or cause to be paid or discharged any such tax, assessment or charge whose amount, applicability or validity is being contested in good faith by appropriate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1007. Statement as to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deliver to the Trustee within 120 days after the end of each fiscal year, a brief certificate from the principal executive officer, principal financial officer or principal accounting officer as to his or her knowledge of the Company’s compliance with all conditions and covenants under this Indenture and, in the event of any noncompliance, specifying such noncompliance and the nature and status thereof. For purposes of this Section 1007, such compliance shall be determined without regard to any period of grace or requirement of notice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shall deliver to the Trustee, as soon as reasonably practicable, and in any event within 30 days after the Company has actual knowledge of the occurrence of an Event of Default that is continuing, a certificate describing such Event of Default, its status, and the actions that the Company is taking or proposes to take in respect thereof.</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1008. Additional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Securities of a series provide for the payment of Additional Amounts, the Company will pay to the Holder of any Security of such series Additional Amounts as may be specified as contemplated by Section 301. Whenever in this Indenture there is mentioned, in any context except in the case of Section 502(i), the payment of the principal of or any premium, Make-Whole Amount or interest on, or in respect of, any Security of any series or the net proceeds received on the sale or exchange of any Security of any series, such mention shall be deemed to include mention of the payment of Additional Amounts provided by the terms of such series established pursuant to Section 301 to the extent that, in such context, Additional Amounts are, were or would be payable in respect thereof pursuant to such terms and express mention of the payment of Additional Amounts (if applicable) in any provisions hereof shall not be construed as excluding Additional Amounts in those provisions hereof where such express mention is not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specified as contemplated by Section 301, 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and any premium is made), and at least 10 days prior to each date of payment of principal and any premium or Make-Whole Amount or interest if there has been any change with respect to the matters set forth in the below-mentioned Officers’ Certificate, the Company will furnish the Trustee and the Company’s principal Paying Agent or Paying Agents, if other than the Trustee, with an Officers’ Certificate instructing the Trustee and such Paying Agent or Paying Agents whether such payment of principal of and any premium or interest on the Securities of that series shall be made to Holders of Securities of that series who are not United States persons without withholding for or on account of any tax, assessment or other governmental charge described in the Securities of or within the series. If any such withholding shall be required, then such Officers’ Certificate shall specify by country the amount, if any, required to be withheld on such payments to such Holders of Securities of that series and the Company will pay to the Trustee or such Paying Agent the Additional Amounts, if any, required by the terms of such Securities. In the event that the Trustee or any Paying Agent, as the case may be, shall not so receive the above mentioned certificate, then the Trustee or such Paying Agent shall be entitled (i) to assume that no such withholding or deduction is required with respect to any payment of principal or interest with respect to any Securities of a series until it shall have received a certificate advising otherwise and (ii) to make all payments of principal and interest with respect to the Securities of a series without withholding or deductions until otherwise advised. The Company covenants to indemnify the Trustee and any Paying Agent and their respective officers, directors, employees and agents for, and to hold them harmless against, any loss, liability or expense (including but not limited to legal fees and expenses) reasonably incurred without gross negligence or willful misconduct on their part arising out of or in connection with actions taken or omitted by any of them in reliance on any Officers’ Certificate furnished pursuant to this Section or in reliance on the Company’s not furnishing such an Officers’ Certificate. Unless and until a Responsible Officer of the Trustee receives at the Corporate Trust Office such an Officer’s Certificate, the Trustee may assume without inquiry that no such Additional Amounts are payable. The Trustee shall not at any time be under any duty or responsibility to any Holder to determine whether any Additional Amounts are payable, or with respect to the nature, extent, or calculation of the amount of any Additional Amounts owed, or with respect to the method employed in such calculation of any Additional Amounts. If the Company has paid Additional Amounts directly to the Persons entitled to it, the Company shall deliver to the Trustee an Officer’s Certificate setting forth the particulars of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1009. Waiver of 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omit in any particular instance to comply with any term, provision or condition set forth in Sections 1004 to 1006, inclusive, and with any other term, provision or condition with respect to the Securities of any series specified in accordance with Section 301 (except any such term, provision or condition that could not be amended without the consent of all Holders of Securities of such series pursuant to Section 902), if before or after the time for such compliance the Holders of at least a majority in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term, provision or condition shall remain in full force and effect.</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ELEVEN</w:t>
        <w:br/>
        <w:t>REDEMPTION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1101. Applicability of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series that are redeemable before their Stated Maturity shall be redeemable in accordance with their terms and (except as otherwise specified as contemplated by Section 301 for Securities of any series) in accordance with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1102. Election to Redeem; Notice to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election of the Company to redeem any Securities (in whole or in part) shall be evidenced by or pursuant to a Board Resolution. In case of any redemption at the election of the Company of less than all of the Securities of any series, the Company shall, at least 45 days prior to the giving of the notice of redemption in Section 1104 (unless a shorter notice shall be satisfactory to the Trustee), notify the Trustee, in writing, of such Redemption Date, of the principal amount of Securities of such series (identified by CUSIP or other control number) to be redeemed and of the Redemption Price of such Securities and any accrued interest and Additional Amounts payable with respect thereto, if any, on the Redemption Date. In the case of any redemption of Securities prior to the expiration of any restriction on such redemption provided in the terms of such Securities or elsewhere in this Indenture, the Company shall furnish the Trustee with an Officers’ Certificate and Opinion of Counsel evidencing compliance with such restriction. If the Redemption Price is not known at the time such notice is to be given, the actual Redemption Price, calculated as described in the terms of the Securities to be redeemed, will be set forth in an Officer’s Certificate delivered to the Trustee no later than two Business Days prior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1103. Selection by Trustee of Securities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the Securities of any series issued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lot, pro rata or such other method as the Trustee shall deem fair and appropriate; provided that if the Securities are represented by one or more global Securities, interests in such global Securities shall be selected for redemption subject to the rules and procedures of DTC,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Security selected for partial redemption is converted in part before termination of the conversion or exchange right with respect to the portion of the Security so selected, the converted or exchanged portion of such Security shall be deemed (so far as may be) to be the portion selected for redemption. Securities that have been converted or exchanged during a selection of Securities to be redeemed shall be treated by the Trustee as Outstanding for the purpose of such selection. In any case where more than one Security is registered in the same name, the Trustee in its discretion may treat the aggregate principal amount so registered as if it were represented by one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of this Indenture, unless the context otherwise requires, all provisions relating to the redemption of Securities shall relate, in the case of any Security redeemed or to be redeemed only in part, to the portion of the principal amount of such Security that has been or is to be redeemed.</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1104. Notice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redemption shall be given in the manner provided in Section 106, not less than 10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that is mailed or otherwise given to the Holders of Registered Securities in the manner herein provided shall be conclusively presumed to have been duly given, whether or not the Holder receives the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of redemption shall state: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5"/>
        <w:gridCol w:w="871"/>
        <w:gridCol w:w="9169"/>
      </w:tblGrid>
      <w:tr>
        <w:trPr/>
        <w:tc>
          <w:tcPr>
            <w:tcW w:w="16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20"/>
              </w:rPr>
            </w:pPr>
            <w:r>
              <w:rPr>
                <w:sz w:val="20"/>
              </w:rPr>
              <w:t>(i)</w:t>
            </w:r>
          </w:p>
        </w:tc>
        <w:tc>
          <w:tcPr>
            <w:tcW w:w="9169" w:type="dxa"/>
            <w:tcBorders/>
            <w:vAlign w:val="center"/>
          </w:tcPr>
          <w:p>
            <w:pPr>
              <w:pStyle w:val="TableContents"/>
              <w:bidi w:val="0"/>
              <w:spacing w:before="0" w:after="283"/>
              <w:jc w:val="both"/>
              <w:rPr/>
            </w:pPr>
            <w:r>
              <w:rPr/>
              <w:t>the Redemption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20"/>
              </w:rPr>
            </w:pPr>
            <w:r>
              <w:rPr>
                <w:sz w:val="20"/>
              </w:rPr>
              <w:t>(ii)</w:t>
            </w:r>
          </w:p>
        </w:tc>
        <w:tc>
          <w:tcPr>
            <w:tcW w:w="9933" w:type="dxa"/>
            <w:tcBorders/>
            <w:vAlign w:val="center"/>
          </w:tcPr>
          <w:p>
            <w:pPr>
              <w:pStyle w:val="TableContents"/>
              <w:bidi w:val="0"/>
              <w:spacing w:before="0" w:after="283"/>
              <w:jc w:val="both"/>
              <w:rPr/>
            </w:pPr>
            <w:r>
              <w:rPr/>
              <w:t>the Redemption Price, accrued and unpaid interest to, but excluding, the Redemption Date payable as provided in Section 1106, if any, and Additional Amounts, if 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20"/>
              </w:rPr>
            </w:pPr>
            <w:r>
              <w:rPr>
                <w:sz w:val="20"/>
              </w:rPr>
              <w:t>(iii)</w:t>
            </w:r>
          </w:p>
        </w:tc>
        <w:tc>
          <w:tcPr>
            <w:tcW w:w="9880" w:type="dxa"/>
            <w:tcBorders/>
            <w:vAlign w:val="center"/>
          </w:tcPr>
          <w:p>
            <w:pPr>
              <w:pStyle w:val="TableContents"/>
              <w:bidi w:val="0"/>
              <w:spacing w:before="0" w:after="283"/>
              <w:jc w:val="both"/>
              <w:rPr/>
            </w:pPr>
            <w:r>
              <w:rPr/>
              <w:t>if less than all Outstanding Securities of any series are to be redeemed, the identification (and, in the case of partial redemption, the principal amount) of the particular Security or Securities to be redeemed;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20"/>
              </w:rPr>
            </w:pPr>
            <w:r>
              <w:rPr>
                <w:sz w:val="20"/>
              </w:rPr>
              <w:t>(iv)</w:t>
            </w:r>
          </w:p>
        </w:tc>
        <w:tc>
          <w:tcPr>
            <w:tcW w:w="9903" w:type="dxa"/>
            <w:tcBorders/>
            <w:vAlign w:val="center"/>
          </w:tcPr>
          <w:p>
            <w:pPr>
              <w:pStyle w:val="TableContents"/>
              <w:bidi w:val="0"/>
              <w:spacing w:before="0" w:after="283"/>
              <w:jc w:val="both"/>
              <w:rPr/>
            </w:pPr>
            <w:r>
              <w:rPr/>
              <w:t>in case any Security is to be redeemed in part only, that on and after the Redemption Date, upon surrender of such Security, the Holder will receive, without a charge, a new Security or Securities of authorized denominations for the principal amount thereof remaining unredeemed;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20"/>
              </w:rPr>
            </w:pPr>
            <w:r>
              <w:rPr>
                <w:sz w:val="20"/>
              </w:rPr>
              <w:t>(v)</w:t>
            </w:r>
          </w:p>
        </w:tc>
        <w:tc>
          <w:tcPr>
            <w:tcW w:w="9967" w:type="dxa"/>
            <w:tcBorders/>
            <w:vAlign w:val="center"/>
          </w:tcPr>
          <w:p>
            <w:pPr>
              <w:pStyle w:val="TableContents"/>
              <w:bidi w:val="0"/>
              <w:spacing w:before="0" w:after="283"/>
              <w:jc w:val="both"/>
              <w:rPr/>
            </w:pPr>
            <w:r>
              <w:rPr/>
              <w:t>that on the Redemption Date the Redemption Price and accrued and unpaid interest to, but excluding, the Redemption Date payable as provided in Section 1106, if any, will become due and payable upon each such Security, or the portion thereof, to be redeemed and, if applicable, that interest thereon shall cease to accrue on and after said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20"/>
              </w:rPr>
            </w:pPr>
            <w:r>
              <w:rPr>
                <w:sz w:val="20"/>
              </w:rPr>
              <w:t>(vi)</w:t>
            </w:r>
          </w:p>
        </w:tc>
        <w:tc>
          <w:tcPr>
            <w:tcW w:w="9897" w:type="dxa"/>
            <w:tcBorders/>
            <w:vAlign w:val="center"/>
          </w:tcPr>
          <w:p>
            <w:pPr>
              <w:pStyle w:val="TableContents"/>
              <w:bidi w:val="0"/>
              <w:spacing w:before="0" w:after="283"/>
              <w:jc w:val="both"/>
              <w:rPr/>
            </w:pPr>
            <w:r>
              <w:rPr/>
              <w:t>the Place or Places of Payment where such Securities maturing after the Redemption Date are to be surrendered for payment of the Redemption Price and accrued and unpaid interest, if any, or for conversion or exchange;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617"/>
        <w:gridCol w:w="9524"/>
      </w:tblGrid>
      <w:tr>
        <w:trPr/>
        <w:tc>
          <w:tcPr>
            <w:tcW w:w="6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20"/>
              </w:rPr>
            </w:pPr>
            <w:r>
              <w:rPr>
                <w:sz w:val="20"/>
              </w:rPr>
              <w:t>(vii)</w:t>
            </w:r>
          </w:p>
        </w:tc>
        <w:tc>
          <w:tcPr>
            <w:tcW w:w="9524" w:type="dxa"/>
            <w:tcBorders/>
            <w:vAlign w:val="center"/>
          </w:tcPr>
          <w:p>
            <w:pPr>
              <w:pStyle w:val="TableContents"/>
              <w:bidi w:val="0"/>
              <w:spacing w:before="0" w:after="283"/>
              <w:jc w:val="both"/>
              <w:rPr/>
            </w:pPr>
            <w:r>
              <w:rPr/>
              <w:t>that the redemption is for a sinking fund, if such is the case;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03"/>
        <w:gridCol w:w="9765"/>
      </w:tblGrid>
      <w:tr>
        <w:trPr/>
        <w:tc>
          <w:tcPr>
            <w:tcW w:w="3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20"/>
              </w:rPr>
            </w:pPr>
            <w:r>
              <w:rPr>
                <w:sz w:val="20"/>
              </w:rPr>
              <w:t>(viii)</w:t>
            </w:r>
          </w:p>
        </w:tc>
        <w:tc>
          <w:tcPr>
            <w:tcW w:w="9765" w:type="dxa"/>
            <w:tcBorders/>
            <w:vAlign w:val="center"/>
          </w:tcPr>
          <w:p>
            <w:pPr>
              <w:pStyle w:val="TableContents"/>
              <w:bidi w:val="0"/>
              <w:spacing w:before="0" w:after="283"/>
              <w:jc w:val="both"/>
              <w:rPr/>
            </w:pPr>
            <w:r>
              <w:rPr/>
              <w:t>the CUSIP number of such Security, if any, provided that neither the Company nor the Trustee shall have any responsibility for any such CUSIP number;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20"/>
              </w:rPr>
            </w:pPr>
            <w:r>
              <w:rPr>
                <w:sz w:val="20"/>
              </w:rPr>
              <w:t>(ix)</w:t>
            </w:r>
          </w:p>
        </w:tc>
        <w:tc>
          <w:tcPr>
            <w:tcW w:w="9910" w:type="dxa"/>
            <w:tcBorders/>
            <w:vAlign w:val="center"/>
          </w:tcPr>
          <w:p>
            <w:pPr>
              <w:pStyle w:val="TableContents"/>
              <w:bidi w:val="0"/>
              <w:spacing w:before="0" w:after="283"/>
              <w:jc w:val="both"/>
              <w:rPr/>
            </w:pPr>
            <w:r>
              <w:rPr/>
              <w:t>if applicable, that a Holder of Securities who desires to convert or exchange Securities to be redeemed must satisfy the requirements for conversion or exchange contained in such Securities, the then existing conversion or exchange price or rate and the date and time when the option to convert or exchange shall expire and the place or places where such Securities may be surrendered for conversion or exchange;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371"/>
        <w:gridCol w:w="9777"/>
      </w:tblGrid>
      <w:tr>
        <w:trPr/>
        <w:tc>
          <w:tcPr>
            <w:tcW w:w="5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20"/>
              </w:rPr>
            </w:pPr>
            <w:r>
              <w:rPr>
                <w:sz w:val="20"/>
              </w:rPr>
              <w:t>(x)</w:t>
            </w:r>
          </w:p>
        </w:tc>
        <w:tc>
          <w:tcPr>
            <w:tcW w:w="9777" w:type="dxa"/>
            <w:tcBorders/>
            <w:vAlign w:val="center"/>
          </w:tcPr>
          <w:p>
            <w:pPr>
              <w:pStyle w:val="TableContents"/>
              <w:bidi w:val="0"/>
              <w:spacing w:before="0" w:after="283"/>
              <w:jc w:val="both"/>
              <w:rPr/>
            </w:pPr>
            <w:r>
              <w:rPr/>
              <w:t>such other information as the Trustee reasonably deems appropriate.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redemption of Securities to be redeemed shall be given by the Company or, at the Company’s written request in an Officers’ Certificate delivered at least 15 days prior to the date such notice is to be given to the Holders (unless a shorter period shall be acceptable to the Trustee), by the Trustee in the name and at the expense of the Company. Any notice of redemption may be conditional in the Company’s discretion on one or more conditions precedent, and the Redemption Date may be delayed until such time as any or all of such conditions have been satisfied or revoked by the Company if it determines that such conditions will not be satisfied.</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1105. Deposit of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10:00 a.m. (local time at the Place of Payment) on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on the Redemption Date the Redemption Price of, and (except if the Redemption Date shall be an Interest Payment Date) accrued and unpaid interest on, all the Securities or portions thereof that are to be redeemed on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1106. Securities Payable on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Notice of redemption having been given as aforesaid, the Securities so to be redeemed shall, on the Redemption Date, become due and payable at the Redemption Price therein specified in the currency or currencies, currency unit or units or composite currency or currencies in which the Securities of such series are payable (except as otherwise specified pursuant to Section 301 for the Securities of such series) (together with accrued and unpaid interest to, but excluding, the Redemption Date and Additional Amounts payable with respect thereto, if any, on the Redemption Date), and from and after such date (unless the Company shall default in the payment of the Redemption Price and accrued and unpaid interest and Additional Amounts, if any) such Securities shall, if the same were interest-bearing, cease to bear interest. Upon surrender of any such Security for redemption in accordance with said notice appertaining thereto maturing after the Redemption Date, such Security shall be paid by the Company at the Redemption Price, together with accrued and unpaid interest to, but excluding, the Redemption Date and Additional Amounts payable with respect thereto, if any, on the Redemption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except as otherwise provided with respect to Securities convertible or exchangeable into other securities or property (including securities of other issuers, provided that such securities are registered under Section 12 of the Exchange Act and such issuer is then eligible to use Form S-3 (or any successor form) for a primary offering of its securities) of the Company, installments of interest on Registered Securities whose Stated Maturity is on or prior to the Redemption Date shall be payable to the Holders of such Securities, or one or more Predecessor Securities, registered as such at the close of business on the relevant Regular Record Dates according to their terms and the provisions of Section 307.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1107. Securities Redeemed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Security that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TWELVE</w:t>
        <w:br/>
        <w:t>SINKING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1201. Applicability of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Article shall be applicable to any sinking fund for the retirement of Securities of a series except as otherwise specified as contemplated by Section 301 for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1202. Satisfaction of Sinking Fund Payments with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 satisfaction of all or any part of any mandatory sinking fund payment with respect to the Securities of a series, (i) deliver Outstanding Securities of such series (other than any previously called for redemption) and (ii) apply as a credit Securities of such series that have been redeemed either at the election of the Company pursuant to the terms of such Securities or through the application of permitted optional sinking fund payments pursuant to the terms of such Securities, as provided for by the terms of such Securities, or which have otherwise been acquired by the Company; provided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1203. Redemption of Securities for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or currencies, currency unit or units or composite currency or currencies in which the Securities of such series are payable (except as otherwise specified pursuant to Section 301 for the Securities of such series) and the portion thereof, if any, which is to be satisfied by delivering and crediting Securities of that series pursuant to Section 1202, and the amount of optional sinking fund payments,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the Company shall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THIRTEEN</w:t>
        <w:br/>
        <w:t>DEFEASANCE AND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1301. Applicability of Article; Company’s Option to Effect Defeasance or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pursuant to Section 301, provision is made for either or both of (i) defeasance of the Securities of or within a series under Section 1302 or (ii) covenant defeasance of the Securities of or within a series under Section 1303 to be applicable to the Securities of any series, then the provisions of such Section or Sections, as the case may be, together with the other provisions of this Article (with such modifications thereto as may be specified pursuant to Section 301 with respect to any Securities), shall be applicable to such Securities and the Company may at its option by Board Resolution at any time, with respect to such Securities elect to defease such Outstanding Securities pursuant to Section 1302 (if applicable) or Section 1303 (if applicable) upon compliance with the conditions set forth below in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1302. Defeasance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Company’s exercise of the above option applicable to this Section with respect to any Securities of or within a series, the Company shall be deemed to have been discharged from its obligations with respect to such Outstanding Securities on the date the conditions set forth in Section 1304 are satisfied (hereinafter, “</w:t>
      </w:r>
      <w:r>
        <w:rPr>
          <w:rFonts w:ascii="Times New Roman;Times;Serif" w:hAnsi="Times New Roman;Times;Serif"/>
          <w:b w:val="false"/>
          <w:i w:val="false"/>
          <w:caps w:val="false"/>
          <w:smallCaps w:val="false"/>
          <w:sz w:val="20"/>
          <w:u w:val="single"/>
        </w:rPr>
        <w:t>defeasance</w:t>
      </w:r>
      <w:r>
        <w:rPr>
          <w:rFonts w:ascii="Times New Roman;Times;Serif" w:hAnsi="Times New Roman;Times;Serif"/>
          <w:b w:val="false"/>
          <w:i w:val="false"/>
          <w:caps w:val="false"/>
          <w:smallCaps w:val="false"/>
          <w:sz w:val="20"/>
        </w:rPr>
        <w:t>”). For this purpose, such defeasance means that the Company shall be deemed to have paid and discharged the entire indebtedness represented by such Outstanding Securities which shall thereafter be deemed to be “Outstanding” only for the purposes of Section 1305 and the other Sections of this Indenture referred to in clauses (i) and (ii) below, and to have satisfied all of its other obligations under such Securities and this Indenture insofar as such Securities are concerned (and the Trustee, at the expense of the Company, shall execute proper instruments acknowledging the same), except for the following that shall survive until otherwise terminated or discharged hereunder: (i) the rights of Holders of such Outstanding Securities to receive, solely from the trust fund described in Section 1304 and as more fully set forth in such Section, payments in respect of the principal of (and premium or Make-Whole Amount, if any) and interest, if any, on such Securities when such payments are due, (ii) the Company’s obligations with respect to such Securities under Sections 305, 306, 1002 and 1003 and with respect to the payment of Additional Amounts, if any, on such Securities as contemplated by Section 1008, (iii) the rights, powers, trusts, duties, indemnities and immunities of the Trustee hereunder including but not limited to Section 606 hereof and (iv) this Article. Subject to compliance with this Article Thirteen, the Company may exercise its option under this Section notwithstanding the prior exercise of its option under Section 1303 with respect to such Securities.</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1303.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Company’s exercise of the above option applicable to this Section with respect to any Securities of or within a series, the Company shall be released from its obligations under Sections 1004 to 1006, inclusive, and, if specified pursuant to Section 301, its obligations under any other covenant, with respect to such Outstanding Securities on and after the date the conditions set forth in Section 1304 are satisfied (hereinafter, “</w:t>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 and such Securities shall thereafter be deemed to be not “Outstanding” for the purposes of any direction, waiver, consent or declaration or Act of Holders (and the consequences of any thereof) in connection with Sections 1004 to 1006, inclusive, or such other covenant, but shall continue to be deemed “Outstanding” for all other purposes hereunder. For this purpose, such covenant defeasance means that, with respect to such Outstanding Securities,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501(iv) or 501(vii) or otherwise, as the case may be, but, except as specified above, the remainder of this Indenture and such Securities shall be unaffected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1304. Conditions to Defeasance or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shall be the conditions to application of Section 1302 or Section 1303 to any Outstanding Securities of or within a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irrevocably have deposited or caused to be deposited with the Trustee as trust funds in trust for the purpose of making the following payments, specifically pledged as security for, and dedicated solely to, the benefit of the Holders of such Securities, (i) an amount in such currency, currencies or currency unit in which such Securities are then specified as payable at Stated Maturity, or (ii) Government Obligations applicable to such Securities (determined on the basis of the currency, currencies or currency unit in which such Securities are then specified as payable at Stated Maturity) that through the scheduled payment of principal and interest in respect thereof in accordance with their terms will provide, not later than one day before the due date of any payment of principal of (and premium or Make-Whole Amount, if any) and interest and Additional Amounts, if any, on such Securities, money in an amount, or (iii) a combination thereof in an amount, sufficient, without consideration of any reinvestment of such principal and interest, in the opinion of a nationally recognized firm of independent public accountants expressed in a written certification thereof delivered to the Trustee, to pay and discharge, and that shall be applied by the Trustee to pay and discharge, (a) the principal of (and premium or Make-Whole Amount, if any) and interest, if any, on such Outstanding Securities on the Stated Maturity of such principal or installment of principal or interest and (b) any mandatory sinking fund payments or analogous payments applicable to such Outstanding Securities on the day on which such payments are due and payable in accordance with the terms of this Indenture and of such Securities; provided, that the Trustee shall have been irrevocably instructed to apply such money or the proceeds of such Government Obligations to said payments with respect to such Securities. Before such a deposit, the Company may give to the Trustee, in accordance with Section 1102 hereof, a notice of its election to redeem all or any portion of such Outstanding Securities at a future date in accordance with the terms of the Securities of such series and Article Eleven hereof, which notice shall be irrevocable. Such irrevocable redemption notice, if given, shall be given effect in applying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defeasance or covenant defeasance shall not result in a breach or violation of, or constitute a default under, this Indenture or any other material agreement or instrument to which the Company is a party or by which it is bound (and shall not cause the Trustee to have a conflicting interest pursuant to Section 310(b) of the TIA with respect to any Security of the Company).</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Event of Default or event that with notice or lapse of time or both would become an Event of Default with respect to such Securities shall have occurred and be continuing on the date of such deposit or, insofar as Sections 501(v) and 501(vi) are concerned, at any time during the period ending on the 91st day after the date of such deposit (it being understood that this condition shall not be deemed satisfied until the expiration of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case of an election under Section 1302,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case of an election under Section 1303, the Company shall have delivered to the Trustee an Opinion of Counsel to the effect that the Holders of such Outstanding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have delivered to the Trustee an Officers’ Certificate and an Opinion of Counsel, each stating that all conditions precedent to the defeasance under Section 1302 or the covenant defeasance under Section 1303 (as the case may be) have been complied with and an Opinion of Counsel to the effect that either (i) as a result of a deposit pursuant to subsection (a) above and the related exercise of the Company’s option under Section 1302 or Section 1303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After the 91st day following the deposit, the trust funds will not be subject to the effect of any applicable bankruptcy, insolvency, reorganization or similar laws affecting creditors’ rights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Notwithstanding any other provisions of this Section, such defeasance or covenant defeasance shall be effected in compliance with any additional or substitute terms, conditions or limitations that may be imposed on the Company in connection therewith pursuant to Section 301.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1305. Deposited Money and Government Obligations to Be Held in Trust; Other 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1305,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pursuant to Section 1304 in respect of any Outstanding Securities of any series shall be held in trust and applied by the Trustee, in accordance with the provisions of such Securities and this Indenture, to the payment, either directly or through any Paying Agent (including the Company acting as its own Paying Agent) as the Trustee may determine, to the Holders of such Securities of all sums due and to become due thereon in respect of principal (and premium or Make-Whole Amount, if any) and interest and Additional Amounts, if any, but such money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with respect to any Security pursuant to Section 301, if, after a deposit referred to in Section 1304(a) has been made, (i) the Holder of a Security in respect of which such deposit was made is entitled to, and does, elect pursuant to Section 301 or the terms of such Security to receive payment in a currency or currency unit other than that in which the deposit pursuant to Section 1304(a) has been made in respect of such Security, or (ii) a Conversion Event occurs in respect of the currency or currency unit in which the deposit pursuant to Section 1304(a) has been made, the indebtedness represented by such Security shall be deemed to have been, and will be, fully discharged and satisfied through the payment of the principal of (and premium or Make-Whole Amount, if any), and interest, if any, on such Security as the same becomes due and Additional Amounts, if any, out of the proceeds yielded by converting (from time to time as specified below in the case of any such election) the amount or other property deposited in respect of such Security into the currency or currency unit in which such Security becomes payable as a result of such election or Conversion Event based on the applicable market exchange rate for such currency or currency unit in effect on the second Business Day prior to each payment date, except, with respect to a Conversion Event, for such currency or currency unit in effect (as nearly as feasible) at the time of the Conversion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and indemnify the Trustee against any tax, fee or other charge imposed on or assessed against the Government Obligations deposited pursuant to Section 1304 or the principal and interest received in respect thereof other than any such tax, fee or other charge that by law is for the account of the Holders of such Outstanding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Article to the contrary notwithstanding, the Trustee shall deliver or pay to the Company from time to time upon Company Request any money or Government Obligations (or other property and any proceeds therefrom) held by it as provided in Section 1304 that, in the opinion of a nationally recognized firm of independent public accountants expressed in a written certification thereof delivered to the Trustee, are in excess of the amount thereof that would then be required to be deposited to effect a defeasance or covenant defeasance, as applicable, in accordance with this Article; provided that the Trustee shall not be required to liquidate any Government Obligations in order to comply with the provisions of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FOURTEEN</w:t>
        <w:br/>
        <w:t>MEETINGS OF HOLDERS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1401. Purposes for Which Meetings May Be Called.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 of Holders of Securities of any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1402. Call, Notice and Place of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at any time call a meeting of Holders of Securities of any series for any purpose specified in Section 1401, to be held at such time and at such place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21 nor more than 180 days prior to the date fixed for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at any time the Company, pursuant to a Board Resolution, or the Holders of at least 25% in principal amount of the Outstanding Securities of any series shall have requested the Trustee to call a meeting of the Holders of Securities of such series for any purpose specified in Section 1401,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for such meeting and may call such meeting for such purposes by giving notice thereof as provided in subsection (a)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1403. Persons Entitled to Vote at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entitled to vote at any meeting of Holders of Securities of any series, a Person shall be (i) a Holder of one or more Outstanding Securities of such series, or (ii)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1404. Quorum;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Persons entitled to vote a majority in principal amount of the Outstanding Securities of a series shall constitute a quorum for a meeting of Holders of Securities of such series;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1402(a), except that such notice need be given only once not less than five (5) days prior to the date on which the meeting is scheduled to be reconvened. Notice of the reconvening of any adjourned meeting shall state expressly the percentage, as provided above, of the principal amount of the Outstanding Securities of such series which shall constitute a quorum. Except as limited by the proviso to Section 902, any resolution presented to a meeting or adjourned meeting duly reconvened at which a quorum is present as aforesaid may be adopted by the affirmative vote of the Holders of a majority in aggregate principal amount of the Outstanding Securities of that series represented at such meeting;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resolution passed or decision taken at any meeting of Holders of Securities of any series duly held in accordance with this Section shall be binding on all the Holders of Securities of such series, whether or not present or represented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provisions of this Section 1404,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98"/>
        <w:gridCol w:w="9851"/>
      </w:tblGrid>
      <w:tr>
        <w:trPr/>
        <w:tc>
          <w:tcPr>
            <w:tcW w:w="5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20"/>
              </w:rPr>
            </w:pPr>
            <w:r>
              <w:rPr>
                <w:sz w:val="20"/>
              </w:rPr>
              <w:t>(i)</w:t>
            </w:r>
          </w:p>
        </w:tc>
        <w:tc>
          <w:tcPr>
            <w:tcW w:w="9851" w:type="dxa"/>
            <w:tcBorders/>
            <w:vAlign w:val="center"/>
          </w:tcPr>
          <w:p>
            <w:pPr>
              <w:pStyle w:val="TableContents"/>
              <w:bidi w:val="0"/>
              <w:spacing w:before="0" w:after="283"/>
              <w:jc w:val="both"/>
              <w:rPr/>
            </w:pPr>
            <w:r>
              <w:rPr/>
              <w:t>there shall be no minimum quorum requirement for such meeting;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20"/>
              </w:rPr>
            </w:pPr>
            <w:r>
              <w:rPr>
                <w:sz w:val="20"/>
              </w:rPr>
              <w:t>(ii)</w:t>
            </w:r>
          </w:p>
        </w:tc>
        <w:tc>
          <w:tcPr>
            <w:tcW w:w="9952" w:type="dxa"/>
            <w:tcBorders/>
            <w:vAlign w:val="center"/>
          </w:tcPr>
          <w:p>
            <w:pPr>
              <w:pStyle w:val="TableContents"/>
              <w:bidi w:val="0"/>
              <w:spacing w:before="0" w:after="283"/>
              <w:jc w:val="both"/>
              <w:rPr/>
            </w:pPr>
            <w:r>
              <w:rPr/>
              <w:t>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1405. Determination of Voting Rights; Conduct and Adjournment of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Such regulations may provide that written instruments appointing proxies, regular on their face, may be presumed valid and genuine without the proof specified in Section 104 or other proof.</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by an instrument in writing, appoint a temporary chairman of the meeting, unless the meeting shall have been called by the Company or by Holders of Securities as provided in Section 1402(b), in which case the Company or the Holders of Securities of or within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At any meeting each Holder of a Security of such series or proxy shall be entitled to one vote for each $1,000 principal amount of the Outstanding Securities of such series held or represented by him;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meeting of Holders of Securities of any series duly called pursuant to Section 1402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1406. Counting Votes and Recording Action of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1402 and, if applicable, Section 1404.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1407. Evidence of Action Taken by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request, demand, authorization, direction, notice, consent, waiver or other action provided by this Indenture to be given or taken by a specified percentage in principal amount of the Holders of any or all series may be embodied in and evidenced by one or more instruments of substantially similar tenor signed by such specified percentage of Holders in person or by agent duly appointed in writing; and, except as herein otherwise expressly provided, such action shall become effective when such instrument or instruments are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Proof of execution of any instrument or of a writing appointing any such agent shall be sufficient for any purpose of this Indenture and (subject to Article Six) conclusive in favor of the Trustee and the Company, if made in the manner provided in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1408. Proof of Execution of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Six, the execution of any instrument by a Holder or his agent or proxy may be proved in accordance with such reasonable rules and regulations as may be prescribed by the Trustee or in such manner as shall be satisfactory to the Trustee.</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FIFTEEN</w:t>
        <w:br/>
        <w:t>SUBORDINATION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1501. Agreement to Subordinate.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a supplemental indenture or pursuant to Section 301, the Company agrees, and each Holder by accepting a Security agrees, that the indebtedness evidenced by the Securities is subordinated in right of payment, to the extent and in the manner provided in this Article, to the prior payment in full of all Senior Debt and that the subordination is for the benefit of the holders of Senior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1502. Liquidation; Dissolution; Bankruptcy.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distribution to creditors of the Company in a liquidation or dissolution of the Company or in a bankruptcy, reorganization, insolvency, receivership or similar proceeding relating to the Company or its property: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20"/>
              </w:rPr>
            </w:pPr>
            <w:r>
              <w:rPr>
                <w:sz w:val="20"/>
              </w:rPr>
              <w:t>(i)</w:t>
            </w:r>
          </w:p>
        </w:tc>
        <w:tc>
          <w:tcPr>
            <w:tcW w:w="10011" w:type="dxa"/>
            <w:tcBorders/>
            <w:vAlign w:val="center"/>
          </w:tcPr>
          <w:p>
            <w:pPr>
              <w:pStyle w:val="TableContents"/>
              <w:bidi w:val="0"/>
              <w:spacing w:before="0" w:after="283"/>
              <w:jc w:val="both"/>
              <w:rPr/>
            </w:pPr>
            <w:r>
              <w:rPr/>
              <w:t>holders of Senior Debt shall be entitled to receive payment in full in cash of the principal of and interest (including interest accruing after the commencement of any such proceeding) to the date of payment on the Senior Debt before Holders shall be entitled to receive any payment of principal of or interest on the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20"/>
              </w:rPr>
            </w:pPr>
            <w:r>
              <w:rPr>
                <w:sz w:val="20"/>
              </w:rPr>
              <w:t>(ii)</w:t>
            </w:r>
          </w:p>
        </w:tc>
        <w:tc>
          <w:tcPr>
            <w:tcW w:w="9950" w:type="dxa"/>
            <w:tcBorders/>
            <w:vAlign w:val="center"/>
          </w:tcPr>
          <w:p>
            <w:pPr>
              <w:pStyle w:val="TableContents"/>
              <w:bidi w:val="0"/>
              <w:spacing w:before="0" w:after="283"/>
              <w:jc w:val="both"/>
              <w:rPr/>
            </w:pPr>
            <w:r>
              <w:rPr/>
              <w:t>until the Senior Debt is paid in full in cash, any distribution to which Holders would be entitled but for this Article shall be made to holders of Senior Debt as their interests may appear, except that Holders may receive securities that are subordinated to Senior Debt to at least the same extent as the Securities;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20"/>
              </w:rPr>
            </w:pPr>
            <w:r>
              <w:rPr>
                <w:sz w:val="20"/>
              </w:rPr>
              <w:t>(iii)</w:t>
            </w:r>
          </w:p>
        </w:tc>
        <w:tc>
          <w:tcPr>
            <w:tcW w:w="9895" w:type="dxa"/>
            <w:tcBorders/>
            <w:vAlign w:val="center"/>
          </w:tcPr>
          <w:p>
            <w:pPr>
              <w:pStyle w:val="TableContents"/>
              <w:bidi w:val="0"/>
              <w:spacing w:before="0" w:after="283"/>
              <w:jc w:val="both"/>
              <w:rPr/>
            </w:pPr>
            <w:r>
              <w:rPr/>
              <w:t>the Trustee is entitled to conclusively rely upon an order or decree of a court of competent jurisdiction or a certificate of a bankruptcy trustee or other similar official for the purpose of ascertaining the persons entitled to participate in such distribution, the holders of Senior Debt and other Company debt, the amount thereof or payable thereon and all other pertinent facts relating thereto or to this Article Fifteen.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be entitled to conclusively rely on the delivery to it of a written notice by a person representing himself to be a holder of Senior Debt (or a trustee or agent on behalf of such holder) to establish that such notice has been given by a holder of Senior Debt (or a trustee or agent on behalf of any such holder). In the event that the Trustee determines, in good faith, that further evidence is required with respect to the right of any person as a holder of Senior Debt to participate in any payment or distribution pursuant to this Article Fifteen, the Trustee may request such person to furnish evidence to the reasonable satisfaction of the Trustee as to the amount of Senior Debt held by such person, as to the extent to which such person is entitled to participate in such payment or distribution, and as to other facts pertinent to the rights of such person under this Article Fifteen, and if such evidence is not furnished, the Trustee may defer any payment to such person pending judicial determination as to the right of such person to receive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anything to the contrary contained in this Article or elsewhere in this Indenture, the Trustee shall not be charged with knowledge of the existence of any Senior Debt or of any default or event of default with respect to any Senior Debt or of any other facts which would prohibit the making of any payment of moneys to or by the Trustee or which would end such prohibition, unless and until a Responsible Officer of the Trustee shall have received notice in writing at its Corporate Trust Office to that effect signed by an officer of the Company, or by a holder or agent of a holder of Senior Debt or by the trustee under any indenture pursuant to which Senior Debt shall be outstanding, who shall have been certified by the Company or otherwise established to the reasonable satisfaction of the Trustee to be such holder or agent or trustee, and, prior to the receipt of any such written notice, the Trustee shall, subject to Section 602, be entitled to assume that no such facts exist; provided that if on a date at least five Business Days prior to the date upon which by the terms hereof any such moneys shall become payable for any purpose (including, without limitation, the payment of the principal of (and premium, if any), and interest on and any Additional Amounts payable in respect of any Security) the Trustee shall not have received with respect to such moneys the notice of prohibition provided for in this Section, then, regardless of anything herein to the contrary, the Trustee shall have full power and authority to receive such moneys and to apply the same to the purpose for which they were received, and shall not be affected by any notice to the contrary which may be received by it on or after such prior date.</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1503. Default on Senior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not pay principal of or interest on the Securities and may not acquire any Securities for cash or property other than capital stock of the Company if: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20"/>
              </w:rPr>
            </w:pPr>
            <w:r>
              <w:rPr>
                <w:sz w:val="20"/>
              </w:rPr>
              <w:t>(i)</w:t>
            </w:r>
          </w:p>
        </w:tc>
        <w:tc>
          <w:tcPr>
            <w:tcW w:w="9977" w:type="dxa"/>
            <w:tcBorders/>
            <w:vAlign w:val="center"/>
          </w:tcPr>
          <w:p>
            <w:pPr>
              <w:pStyle w:val="TableContents"/>
              <w:bidi w:val="0"/>
              <w:spacing w:before="0" w:after="283"/>
              <w:jc w:val="both"/>
              <w:rPr/>
            </w:pPr>
            <w:r>
              <w:rPr/>
              <w:t>a default on Senior Debt occurs and is continuing that permits holders of such Senior Debt to accelerate its maturity,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20"/>
              </w:rPr>
            </w:pPr>
            <w:r>
              <w:rPr>
                <w:sz w:val="20"/>
              </w:rPr>
              <w:t>(ii)</w:t>
            </w:r>
          </w:p>
        </w:tc>
        <w:tc>
          <w:tcPr>
            <w:tcW w:w="9953" w:type="dxa"/>
            <w:tcBorders/>
            <w:vAlign w:val="center"/>
          </w:tcPr>
          <w:p>
            <w:pPr>
              <w:pStyle w:val="TableContents"/>
              <w:bidi w:val="0"/>
              <w:spacing w:before="0" w:after="283"/>
              <w:jc w:val="both"/>
              <w:rPr/>
            </w:pPr>
            <w:r>
              <w:rPr/>
              <w:t>the default is the subject of judicial proceedings or the Company receives a notice of the default from a person who may give it pursuant to Section 1511. If the Company receives any such notice, a similar notice received within nine months thereafter relating to the same default on the same issue of Senior Debt shall not be effective for purposes of this Section.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resume payments on the Securities and may acquire them when: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604"/>
        <w:gridCol w:w="9487"/>
      </w:tblGrid>
      <w:tr>
        <w:trPr/>
        <w:tc>
          <w:tcPr>
            <w:tcW w:w="11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20"/>
              </w:rPr>
            </w:pPr>
            <w:r>
              <w:rPr>
                <w:sz w:val="20"/>
              </w:rPr>
              <w:t>(i)</w:t>
            </w:r>
          </w:p>
        </w:tc>
        <w:tc>
          <w:tcPr>
            <w:tcW w:w="9487" w:type="dxa"/>
            <w:tcBorders/>
            <w:vAlign w:val="center"/>
          </w:tcPr>
          <w:p>
            <w:pPr>
              <w:pStyle w:val="TableContents"/>
              <w:bidi w:val="0"/>
              <w:spacing w:before="0" w:after="283"/>
              <w:jc w:val="both"/>
              <w:rPr/>
            </w:pPr>
            <w:r>
              <w:rPr/>
              <w:t>the default is cured or waived,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20"/>
              </w:rPr>
            </w:pPr>
            <w:r>
              <w:rPr>
                <w:sz w:val="20"/>
              </w:rPr>
              <w:t>(ii)</w:t>
            </w:r>
          </w:p>
        </w:tc>
        <w:tc>
          <w:tcPr>
            <w:tcW w:w="9932" w:type="dxa"/>
            <w:tcBorders/>
            <w:vAlign w:val="center"/>
          </w:tcPr>
          <w:p>
            <w:pPr>
              <w:pStyle w:val="TableContents"/>
              <w:bidi w:val="0"/>
              <w:spacing w:before="0" w:after="283"/>
              <w:jc w:val="both"/>
              <w:rPr/>
            </w:pPr>
            <w:r>
              <w:rPr/>
              <w:t>120 days pass after the notice is given if the default is not the subject of judicial proceedings if this Article otherwise permits the payment or acquisition at that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1504. Acceleration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payment of the Securities is accelerated because of an Event of Default, the Company shall promptly notify holders of Senior Debt of the acceleration. The Company may pay the Securities when 120 days pass after the acceleration occurs if this Article permits the payment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1505. When Distribution Must Be Paid Over.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distribution is made to Holders that because of this Article should not have been made to them, the Holders who receive the distribution shall hold it in trust for holders of Senior Debt and pay it over to them as their interests may appear.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1506. Notice by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promptly notify the Trustee, in writing, and any Paying Agent of any facts known to the Company that would cause a payment of principal of or interest on Securities to violate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1507. Subrogation.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all Senior Debt is paid in full and until the Securities are paid in full, Holders shall be subrogated to the rights of holders of Senior Debt to receive distributions applicable to Senior Debt to the extent that distributions otherwise payable to the Holders have been applied to the payment of Senior Debt. A distribution made under this Article to holders of Senior Debt which otherwise would have been made to Holders is not, as between the Company and Holders, a payment by the Company on Senior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1508. Relative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defines the relative rights of Holders and holders of Senior Debt. Nothing in this Indenture shall: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(i)</w:t>
            </w:r>
          </w:p>
        </w:tc>
        <w:tc>
          <w:tcPr>
            <w:tcW w:w="9998" w:type="dxa"/>
            <w:tcBorders/>
            <w:vAlign w:val="center"/>
          </w:tcPr>
          <w:p>
            <w:pPr>
              <w:pStyle w:val="TableContents"/>
              <w:bidi w:val="0"/>
              <w:spacing w:before="0" w:after="283"/>
              <w:jc w:val="both"/>
              <w:rPr/>
            </w:pPr>
            <w:r>
              <w:rPr/>
              <w:t>impair, as between the Company and Holders, the obligation of the Company, which is absolute and unconditional, to pay principal of and interest on the Securities in accordance with their terms;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20"/>
              </w:rPr>
            </w:pPr>
            <w:r>
              <w:rPr>
                <w:sz w:val="20"/>
              </w:rPr>
              <w:t>(ii)</w:t>
            </w:r>
          </w:p>
        </w:tc>
        <w:tc>
          <w:tcPr>
            <w:tcW w:w="9901" w:type="dxa"/>
            <w:tcBorders/>
            <w:vAlign w:val="center"/>
          </w:tcPr>
          <w:p>
            <w:pPr>
              <w:pStyle w:val="TableContents"/>
              <w:bidi w:val="0"/>
              <w:spacing w:before="0" w:after="283"/>
              <w:jc w:val="both"/>
              <w:rPr/>
            </w:pPr>
            <w:r>
              <w:rPr/>
              <w:t>affect the relative rights of Holders and creditors of the Company other than holders of Senior Debt; or</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9"/>
        <w:gridCol w:w="9879"/>
      </w:tblGrid>
      <w:tr>
        <w:trPr/>
        <w:tc>
          <w:tcPr>
            <w:tcW w:w="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20"/>
              </w:rPr>
            </w:pPr>
            <w:r>
              <w:rPr>
                <w:sz w:val="20"/>
              </w:rPr>
              <w:t>(iii)</w:t>
            </w:r>
          </w:p>
        </w:tc>
        <w:tc>
          <w:tcPr>
            <w:tcW w:w="9879" w:type="dxa"/>
            <w:tcBorders/>
            <w:vAlign w:val="center"/>
          </w:tcPr>
          <w:p>
            <w:pPr>
              <w:pStyle w:val="TableContents"/>
              <w:bidi w:val="0"/>
              <w:spacing w:before="0" w:after="283"/>
              <w:jc w:val="both"/>
              <w:rPr/>
            </w:pPr>
            <w:r>
              <w:rPr/>
              <w:t>prevent the Trustee or any Holder from exercising its available remedies upon an Event of Default, subject to the rights of holders of Senior Debt to receive distributions otherwise payable to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fails because of this Article to pay principal of or interest on a Security on the due date, the failure is still a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1509. Subordination May Not Be Impaired By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right of any holder of Senior Debt to enforce the subordination of the indebtedness evidenced by the Securities shall be impaired by any act or failure to act by the Company or by its failure to comply with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1510. Distribution or Notice to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 distribution is to be made or a notice given to holders of Senior Debt, the distribution may be made and the notice given to their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1511. Rights of Trustee and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any Paying Agent may continue to make payments on the Securities until a Responsible Officer receives written notice of facts that would cause a payment of principal of or interest on the Securities to violate this Article. Only the Company, a Representative or a holder of an issue of Senior Debt that has no Representative may give the written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has no duty to the holders of Senior Debt other than as created under this Indenture. The Trustee in its individual or any other capacity may hold Senior Debt with the same rights it would have if it were not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obligation to pay, and the Company’s payment of, the amounts required by Sections 506 and 606 are excluded from the operation of this Article Fifteen.</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all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5670" w:type="dxa"/>
        <w:jc w:val="left"/>
        <w:tblInd w:w="0" w:type="dxa"/>
        <w:tblLayout w:type="fixed"/>
        <w:tblCellMar>
          <w:top w:w="0" w:type="dxa"/>
          <w:left w:w="0" w:type="dxa"/>
          <w:bottom w:w="0" w:type="dxa"/>
          <w:right w:w="0" w:type="dxa"/>
        </w:tblCellMar>
      </w:tblPr>
      <w:tblGrid>
        <w:gridCol w:w="75"/>
        <w:gridCol w:w="320"/>
        <w:gridCol w:w="545"/>
        <w:gridCol w:w="4730"/>
      </w:tblGrid>
      <w:tr>
        <w:trPr/>
        <w:tc>
          <w:tcPr>
            <w:tcW w:w="75" w:type="dxa"/>
            <w:tcBorders/>
            <w:vAlign w:val="center"/>
          </w:tcPr>
          <w:p>
            <w:pPr>
              <w:pStyle w:val="TableContents"/>
              <w:bidi w:val="0"/>
              <w:spacing w:before="0" w:after="283"/>
              <w:jc w:val="left"/>
              <w:rPr/>
            </w:pPr>
            <w:r>
              <w:rPr/>
              <w:t> </w:t>
            </w:r>
          </w:p>
        </w:tc>
        <w:tc>
          <w:tcPr>
            <w:tcW w:w="559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BURKE &amp; HERBERT FINANCIAL SERVICES CORP.</w:t>
            </w:r>
          </w:p>
        </w:tc>
      </w:tr>
      <w:tr>
        <w:trPr/>
        <w:tc>
          <w:tcPr>
            <w:tcW w:w="75" w:type="dxa"/>
            <w:tcBorders/>
            <w:vAlign w:val="center"/>
          </w:tcPr>
          <w:p>
            <w:pPr>
              <w:pStyle w:val="TableContents"/>
              <w:bidi w:val="0"/>
              <w:spacing w:before="0" w:after="283"/>
              <w:jc w:val="left"/>
              <w:rPr/>
            </w:pPr>
            <w:r>
              <w:rPr/>
              <w:t> </w:t>
            </w:r>
          </w:p>
        </w:tc>
        <w:tc>
          <w:tcPr>
            <w:tcW w:w="559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27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Kirtan Parikh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Kirtan Parikh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730" w:type="dxa"/>
            <w:tcBorders/>
            <w:vAlign w:val="center"/>
          </w:tcPr>
          <w:p>
            <w:pPr>
              <w:pStyle w:val="TableContents"/>
              <w:bidi w:val="0"/>
              <w:spacing w:before="0" w:after="283"/>
              <w:jc w:val="left"/>
              <w:rPr/>
            </w:pPr>
            <w:r>
              <w:rPr/>
              <w:t>Executive Vice President, Chief Financial Officer</w:t>
            </w:r>
          </w:p>
        </w:tc>
      </w:tr>
      <w:tr>
        <w:trPr/>
        <w:tc>
          <w:tcPr>
            <w:tcW w:w="75" w:type="dxa"/>
            <w:tcBorders/>
            <w:vAlign w:val="center"/>
          </w:tcPr>
          <w:p>
            <w:pPr>
              <w:pStyle w:val="TableContents"/>
              <w:bidi w:val="0"/>
              <w:spacing w:before="0" w:after="283"/>
              <w:jc w:val="left"/>
              <w:rPr/>
            </w:pPr>
            <w:r>
              <w:rPr/>
              <w:t> </w:t>
            </w:r>
          </w:p>
        </w:tc>
        <w:tc>
          <w:tcPr>
            <w:tcW w:w="559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9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WILMINGTON TRUST, NATIONAL ASSOCIATION, as Trustee</w:t>
            </w:r>
          </w:p>
        </w:tc>
      </w:tr>
      <w:tr>
        <w:trPr/>
        <w:tc>
          <w:tcPr>
            <w:tcW w:w="75" w:type="dxa"/>
            <w:tcBorders/>
            <w:vAlign w:val="center"/>
          </w:tcPr>
          <w:p>
            <w:pPr>
              <w:pStyle w:val="TableContents"/>
              <w:bidi w:val="0"/>
              <w:spacing w:before="0" w:after="283"/>
              <w:jc w:val="left"/>
              <w:rPr/>
            </w:pPr>
            <w:r>
              <w:rPr/>
              <w:t> </w:t>
            </w:r>
          </w:p>
        </w:tc>
        <w:tc>
          <w:tcPr>
            <w:tcW w:w="559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27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H. Wass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730" w:type="dxa"/>
            <w:tcBorders/>
            <w:vAlign w:val="center"/>
          </w:tcPr>
          <w:p>
            <w:pPr>
              <w:pStyle w:val="TableContents"/>
              <w:bidi w:val="0"/>
              <w:spacing w:before="0" w:after="283"/>
              <w:jc w:val="left"/>
              <w:rPr/>
            </w:pPr>
            <w:r>
              <w:rPr/>
              <w:t>Michael H. Wass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730" w:type="dxa"/>
            <w:tcBorders/>
            <w:vAlign w:val="center"/>
          </w:tcPr>
          <w:p>
            <w:pPr>
              <w:pStyle w:val="TableContents"/>
              <w:bidi w:val="0"/>
              <w:spacing w:before="0" w:after="283"/>
              <w:jc w:val="left"/>
              <w:rPr/>
            </w:pPr>
            <w:r>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Subordinated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CERTIFICATE TO BE GIVEN BY EUROCLEAR AND CLEARSTREAM BANKING, S.A. IN</w:t>
        <w:br/>
        <w:t>CONNECTION WITH THE EXCHANGE OF A PORTION OF A TEMPORARY GLOBAL SECURITY</w:t>
        <w:br/>
        <w:t>OR TO OBTAIN INTEREST PAYABLE PRIOR TO THE EXCHANGE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title or sufficient description of Securities to be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to certify that, based solely on written certifications that we have received in writing, by tested telex or by electronic transmission from each of the persons appearing in our records as persons entitled to a portion of the principal amount set forth below (our “</w:t>
      </w:r>
      <w:r>
        <w:rPr>
          <w:rFonts w:ascii="Times New Roman;Times;Serif" w:hAnsi="Times New Roman;Times;Serif"/>
          <w:b w:val="false"/>
          <w:i w:val="false"/>
          <w:caps w:val="false"/>
          <w:smallCaps w:val="false"/>
          <w:sz w:val="20"/>
          <w:u w:val="single"/>
        </w:rPr>
        <w:t>Member Or</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anizations</w:t>
      </w:r>
      <w:r>
        <w:rPr>
          <w:rFonts w:ascii="Times New Roman;Times;Serif" w:hAnsi="Times New Roman;Times;Serif"/>
          <w:b w:val="false"/>
          <w:i w:val="false"/>
          <w:caps w:val="false"/>
          <w:smallCaps w:val="false"/>
          <w:sz w:val="20"/>
        </w:rPr>
        <w:t>”) substantially in the form attached hereto, as of the date hereof, (U.S.$)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w:t>
      </w:r>
      <w:r>
        <w:rPr>
          <w:rFonts w:ascii="Times New Roman;Times;Serif" w:hAnsi="Times New Roman;Times;Serif"/>
          <w:b w:val="false"/>
          <w:i w:val="false"/>
          <w:caps w:val="false"/>
          <w:smallCaps w:val="false"/>
          <w:sz w:val="20"/>
          <w:u w:val="single"/>
        </w:rPr>
        <w:t>United States person</w:t>
      </w:r>
      <w:r>
        <w:rPr>
          <w:rFonts w:ascii="Times New Roman;Times;Serif" w:hAnsi="Times New Roman;Times;Serif"/>
          <w:b w:val="false"/>
          <w:i w:val="false"/>
          <w:caps w:val="false"/>
          <w:smallCaps w:val="false"/>
          <w:sz w:val="20"/>
        </w:rPr>
        <w:t>(s)”), (ii) is owned by United States person(s) that are (a) foreign branches of United States financial institutions (financial institutions, as defined in United States Treasury Regulations Section 1.165-12(c)(1)(v) are herein referred to as “</w:t>
      </w:r>
      <w:r>
        <w:rPr>
          <w:rFonts w:ascii="Times New Roman;Times;Serif" w:hAnsi="Times New Roman;Times;Serif"/>
          <w:b w:val="false"/>
          <w:i w:val="false"/>
          <w:caps w:val="false"/>
          <w:smallCaps w:val="false"/>
          <w:sz w:val="20"/>
          <w:u w:val="single"/>
        </w:rPr>
        <w:t>financial institutions</w:t>
      </w:r>
      <w:r>
        <w:rPr>
          <w:rFonts w:ascii="Times New Roman;Times;Serif" w:hAnsi="Times New Roman;Times;Serif"/>
          <w:b w:val="false"/>
          <w:i w:val="false"/>
          <w:caps w:val="false"/>
          <w:smallCaps w:val="false"/>
          <w:sz w:val="20"/>
        </w:rPr>
        <w:t>”)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Wilmington Trust, National Association or its agent that such financial institution will provide a certificate within a reasonable time stating that it agrees to comply with the requirements of Section 165(j)(3)(A), (B), or (C) of the Internal Revenue Code of 1986, as amended, and the regulations thereunder), or (iii) is owned by a financial institution for purposes of resale during the restricted period (as defined in United States Treasury Regulations Section 1.163-5(c)(2)(i)(D)(7)), and that such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“United States” means the United States of America (including the States and the District of Columbia); and its “possessions” include Puerto Rico, the U.S. Virgin Islands, Guam, American Samoa, Wake Island and the Northern Mariana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pStyle w:val="TextBody"/>
        <w:bidi w:val="0"/>
        <w:spacing w:before="0" w:after="0"/>
        <w:ind w:left="0" w:right="0" w:hanging="0"/>
        <w:jc w:val="left"/>
        <w:rPr>
          <w:caps w:val="false"/>
          <w:smallCaps w:val="false"/>
        </w:rPr>
      </w:pPr>
      <w:r>
        <w:rPr>
          <w:caps w:val="false"/>
          <w:smallCaps w:val="false"/>
        </w:rPr>
        <w:t> </w:t>
      </w:r>
    </w:p>
    <w:tbl>
      <w:tblPr>
        <w:tblW w:w="800" w:type="dxa"/>
        <w:jc w:val="left"/>
        <w:tblInd w:w="0" w:type="dxa"/>
        <w:tblLayout w:type="fixed"/>
        <w:tblCellMar>
          <w:top w:w="0" w:type="dxa"/>
          <w:left w:w="0" w:type="dxa"/>
          <w:bottom w:w="0" w:type="dxa"/>
          <w:right w:w="0" w:type="dxa"/>
        </w:tblCellMar>
      </w:tblPr>
      <w:tblGrid>
        <w:gridCol w:w="665"/>
        <w:gridCol w:w="60"/>
        <w:gridCol w:w="75"/>
      </w:tblGrid>
      <w:tr>
        <w:trPr/>
        <w:tc>
          <w:tcPr>
            <w:tcW w:w="665" w:type="dxa"/>
            <w:tcBorders/>
            <w:vAlign w:val="center"/>
          </w:tcPr>
          <w:p>
            <w:pPr>
              <w:pStyle w:val="TableContents"/>
              <w:bidi w:val="0"/>
              <w:spacing w:before="0" w:after="283"/>
              <w:jc w:val="both"/>
              <w:rPr/>
            </w:pPr>
            <w:r>
              <w:rPr/>
              <w:t>Dated:</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dated no earlier than the earlier of the Exchange Date or the relevant Interest Payment Date occurring prior to the Exchange Date, as applicable]</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380"/>
        <w:gridCol w:w="60"/>
        <w:gridCol w:w="75"/>
      </w:tblGrid>
      <w:tr>
        <w:trPr/>
        <w:tc>
          <w:tcPr>
            <w:tcW w:w="380" w:type="dxa"/>
            <w:tcBorders/>
            <w:vAlign w:val="center"/>
          </w:tcPr>
          <w:p>
            <w:pPr>
              <w:pStyle w:val="TableContents"/>
              <w:bidi w:val="0"/>
              <w:spacing w:before="0" w:after="283"/>
              <w:jc w:val="both"/>
              <w:rPr/>
            </w:pPr>
            <w:r>
              <w:rPr/>
              <w:t>By:</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p>
      <w:pPr>
        <w:pStyle w:val="TextBody"/>
        <w:bidi w:val="0"/>
        <w:spacing w:before="0" w:after="283"/>
        <w:jc w:val="left"/>
        <w:rPr/>
      </w:pPr>
      <w:r>
        <w:rPr/>
        <w:t> </w:t>
      </w:r>
    </w:p>
    <w:p>
      <w:pPr>
        <w:pStyle w:val="TextBody"/>
        <w:bidi w:val="0"/>
        <w:jc w:val="left"/>
        <w:rPr/>
      </w:pPr>
      <w:bookmarkStart w:id="26" w:name="tm2625875d4_ex4-2.htm"/>
      <w:bookmarkStart w:id="27" w:name="kstm2625875d4_ex42"/>
      <w:bookmarkEnd w:id="26"/>
      <w:bookmarkEnd w:id="27"/>
      <w:r>
        <w:rPr/>
        <w:t> </w:t>
      </w:r>
      <w:r>
        <w:br w:type="page"/>
      </w:r>
    </w:p>
    <w:p>
      <w:pPr>
        <w:pStyle w:val="TextBody"/>
        <w:bidi w:val="0"/>
        <w:jc w:val="right"/>
        <w:rPr>
          <w:b/>
        </w:rPr>
      </w:pPr>
      <w:r>
        <w:rPr>
          <w:b/>
        </w:rPr>
        <w:t>Exhibit 4.2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FIRST SUPPLEMENTAL INDENTURE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BURKE &amp; HERBERT FINANCIAL SERVICES CORP.</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WILMINGTON TRUST, NATIONAL ASSOCIATION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DATED AS OF September 30, 2026</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Supplement to Indenture dated as of September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SUPPLEMENTAL INDENTURE, dated as of September 30, 2026 (this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between BURKE &amp; HERBERT FINANCIAL SERVICES CORP., a Virginia corporation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and WILMINGTON TRUST, NATIONAL ASSOCIATION, as trustee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RECITALS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Trustee have entered into an Indenture dated as of September 30, 2026 (the “</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and, as supplemented by this Supplemental Indenture, the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providing for the issuance by the Company from time to time of its subordinated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901(vi) of the Base Indenture provides that the Company and the Trustee may, without the consent of any Holder, enter into a supplemental indenture to establish the form or terms of Securities of any series as permitted by Sections 201 and 301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provide for the establishment of a new series of Securities pursuant to Sections 201 and 301 of the Base Indenture, the form and substance of such Securities and terms, provisions and conditions thereof to be set forth as provided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deems it advisable to enter into this Supplemental Indenture for the purposes of establishing the terms of such Securities and providing for the rights, obligations and duties of the Trustee with respect to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execution and delivery of this Supplemental Indenture has been authorized by a resolution of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requested that the Trustee execute and deliver this Supplemental Indenture and satisfy all requirements necessary to make this Supplemental Indenture a valid, legal and binding instrument in accordance with its terms, and to make the Notes (as defined herein), when executed by the Company and authenticated and delivered by the Trustee, the valid, legal and binding obligations of the Company;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acts and things necessary have been done and performed to make this Supplemental Indenture enforceable in accordance with its terms, and the execution and delivery of this Supplemental Indenture has been duly authorized in all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THIS SUPPLEMENTAL INDENTURE WITNESSETH: For and in consideration of the premises and the purchase of the Notes by the Holders thereof, the Company and the Trustee covenant and agree, for the equal and proportionate benefit of all Holders of the Notes,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One</w:t>
      </w:r>
      <w:r>
        <w:rPr>
          <w:rFonts w:ascii="Times New Roman;Times;Serif" w:hAnsi="Times New Roman;Times;Serif"/>
          <w:b/>
          <w:i w:val="false"/>
          <w:caps/>
          <w:sz w:val="20"/>
          <w:u w:val="single"/>
        </w:rPr>
        <w:br/>
        <w:br/>
        <w:t>DEFINITIONS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Definitions and Other Provisions of General Application</w:t>
      </w:r>
      <w:r>
        <w:rPr>
          <w:rFonts w:ascii="Times New Roman;Times;Serif" w:hAnsi="Times New Roman;Times;Serif"/>
          <w:b w:val="false"/>
          <w:i w:val="false"/>
          <w:caps w:val="false"/>
          <w:smallCaps w:val="false"/>
          <w:sz w:val="20"/>
        </w:rPr>
        <w:t>. For all purposes of this Supplemental Indenture, unless otherwise specified herein: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terms used in this Supplemental Indenture which are not otherwise defined herein shall have the meanings they are given in the Base Indenture and include the plural as well as the singular;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provisions of general application stated in Sections 102 through 116 of the Base Indenture shall apply to this Supplemental Indenture, except that the words “herein,” “hereof,” “hereto” and “hereunder” and other words of similar import refer to this Supplemental Indenture as a whole and not to the Base Indenture or any particular Article, Section or other subdivision of the Base Indenture or this Supplemental Indenture;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101 of the Base Indenture is amended and supplemented, solely with respect to the Notes, by inserting the following additional defined terms in their appropriate alphabetical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Administrative or Judicial Action</w:t>
      </w:r>
      <w:r>
        <w:rPr>
          <w:rFonts w:ascii="Times New Roman;Times;Serif" w:hAnsi="Times New Roman;Times;Serif"/>
          <w:b w:val="false"/>
          <w:i w:val="false"/>
          <w:caps w:val="false"/>
          <w:smallCaps w:val="false"/>
          <w:sz w:val="20"/>
        </w:rPr>
        <w:t>” has the meaning provided in the definition of “</w:t>
      </w:r>
      <w:r>
        <w:rPr>
          <w:rFonts w:ascii="Times New Roman;Times;Serif" w:hAnsi="Times New Roman;Times;Serif"/>
          <w:b w:val="false"/>
          <w:i/>
          <w:caps w:val="false"/>
          <w:smallCaps w:val="false"/>
          <w:sz w:val="20"/>
        </w:rPr>
        <w:t>Tax Event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Bank</w:t>
      </w:r>
      <w:r>
        <w:rPr>
          <w:rFonts w:ascii="Times New Roman;Times;Serif" w:hAnsi="Times New Roman;Times;Serif"/>
          <w:b w:val="false"/>
          <w:i w:val="false"/>
          <w:caps w:val="false"/>
          <w:smallCaps w:val="false"/>
          <w:sz w:val="20"/>
        </w:rPr>
        <w:t>” means Burke &amp; Herbert Bank &amp; Trust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Benchmark</w:t>
      </w:r>
      <w:r>
        <w:rPr>
          <w:rFonts w:ascii="Times New Roman;Times;Serif" w:hAnsi="Times New Roman;Times;Serif"/>
          <w:b w:val="false"/>
          <w:i w:val="false"/>
          <w:caps w:val="false"/>
          <w:smallCaps w:val="false"/>
          <w:sz w:val="20"/>
        </w:rPr>
        <w:t>” means, initially, Three-Month Term SOFR; provided that if the Calculation Agent determines on or prior to the Reference Time that a Benchmark Transition Event and its related Benchmark Replacement Date have occurred with respect to Three-Month Term SOFR or the then-current Benchmark, then “Benchmark” means the applicable Benchmark Replacement.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Benchmark Replacement</w:t>
      </w:r>
      <w:r>
        <w:rPr>
          <w:rFonts w:ascii="Times New Roman;Times;Serif" w:hAnsi="Times New Roman;Times;Serif"/>
          <w:b w:val="false"/>
          <w:i w:val="false"/>
          <w:caps w:val="false"/>
          <w:smallCaps w:val="false"/>
          <w:sz w:val="20"/>
        </w:rPr>
        <w:t>” means the Interpolated Benchmark with respect to the then-current Benchmark, plus the Benchmark Replacement Adjustment for such Benchmark; provided that if (a) the Calculation Agent cannot determine the Interpolated Benchmark as of the Benchmark Replacement Date or (b) the then-current Benchmark is Three-Month Term SOFR and a Benchmark Transition Event and its related Benchmark Replacement Date have occurred with respect to Three-Month Term SOFR (in which event no Interpolated Benchmark with respect to Three-Month Term SOFR shall be determined), then “</w:t>
      </w:r>
      <w:r>
        <w:rPr>
          <w:rFonts w:ascii="Times New Roman;Times;Serif" w:hAnsi="Times New Roman;Times;Serif"/>
          <w:b w:val="false"/>
          <w:i/>
          <w:caps w:val="false"/>
          <w:smallCaps w:val="false"/>
          <w:sz w:val="20"/>
        </w:rPr>
        <w:t>Benchmark Replacement</w:t>
      </w:r>
      <w:r>
        <w:rPr>
          <w:rFonts w:ascii="Times New Roman;Times;Serif" w:hAnsi="Times New Roman;Times;Serif"/>
          <w:b w:val="false"/>
          <w:i w:val="false"/>
          <w:caps w:val="false"/>
          <w:smallCaps w:val="false"/>
          <w:sz w:val="20"/>
        </w:rPr>
        <w:t>” means the first alternative set forth in the order below that can be determined by the Calculation Agent as of the Benchmark Replacement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Compounded SOFR;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sum of: (a) the alternate rate that has been selected or recommended by the Relevant Governmental Body as the replacement for the then-current Benchmark for the applicable Corresponding Tenor and (b) the Benchmark Replacement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sum of: (a) the ISDA Fallback Rate, and (b) the Benchmark Replacement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sum of: (a) the alternate rate that has been selected by the Calculation Agent as the replacement for the then-current Benchmark for the applicable Corresponding Tenor, giving due consideration to any industry-accepted rate as a replacement for the then-current Benchmark for U.S. dollar-denominated floating rate securities at such time, and (b) the Benchmark Replacement Adjustment.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val="false"/>
          <w:i/>
          <w:caps w:val="false"/>
          <w:smallCaps w:val="false"/>
          <w:sz w:val="20"/>
        </w:rPr>
        <w:t>Benchmark Replacement Adjustment</w:t>
      </w:r>
      <w:r>
        <w:rPr>
          <w:rFonts w:ascii="Times New Roman;Times;Serif" w:hAnsi="Times New Roman;Times;Serif"/>
          <w:b w:val="false"/>
          <w:i w:val="false"/>
          <w:caps w:val="false"/>
          <w:smallCaps w:val="false"/>
          <w:sz w:val="20"/>
        </w:rPr>
        <w:t>” means the first alternative set forth in the order below that can be determined by the Calculation Agent as of the Benchmark Replacement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spread adjustment, or method for calculating or determining such spread adjustment (which may be a positive or negative value or zero), that has been selected or recommended by the Relevant Governmental Body for the applicable Unadjusted Benchmark Replacement;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applicable Unadjusted Benchmark Replacement is equivalent to the ISDA Fallback Rate, then the ISDA Fallback Adjustment;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spread adjustment (which may be a positive or negative value or zero) that has been selected by the Calculation Agent giving due consideration to any industry-accepted spread adjustment or method for calculating or determining such spread adjustment, for the replacement of the then-current Benchmark with the applicable Unadjusted Benchmark Replacement for U.S. dollar-denominated floating rate securities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Benchmark Replacement Conforming Changes</w:t>
      </w:r>
      <w:r>
        <w:rPr>
          <w:rFonts w:ascii="Times New Roman;Times;Serif" w:hAnsi="Times New Roman;Times;Serif"/>
          <w:b w:val="false"/>
          <w:i w:val="false"/>
          <w:caps w:val="false"/>
          <w:smallCaps w:val="false"/>
          <w:sz w:val="20"/>
        </w:rPr>
        <w:t>” means, with respect to any Benchmark Replacement, any technical, administrative or operational changes (including changes to the definition of “interest period,” timing and frequency of determining rates with respect to each interest period and making payments of interest, rounding of amounts or tenors, and other administrative matters) that the Calculation Agent decides may be appropriate to reflect the adoption of such Benchmark Replacement in a manner substantially consistent with market practice (or, if the Calculation Agent decides that adoption of any portion of such market practice is not administratively feasible or if the Calculation Agent determines that no market practice for use of the Benchmark Replacement exists, in such other manner as the Calculation Agent determines is reasonably necessary).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Benchmark Replacement Date</w:t>
      </w:r>
      <w:r>
        <w:rPr>
          <w:rFonts w:ascii="Times New Roman;Times;Serif" w:hAnsi="Times New Roman;Times;Serif"/>
          <w:b w:val="false"/>
          <w:i w:val="false"/>
          <w:caps w:val="false"/>
          <w:smallCaps w:val="false"/>
          <w:sz w:val="20"/>
        </w:rPr>
        <w:t>” means the earliest to occur of the following events with respect to the then-current Benchmark: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clause (1) of the definition of “</w:t>
      </w:r>
      <w:r>
        <w:rPr>
          <w:rFonts w:ascii="Times New Roman;Times;Serif" w:hAnsi="Times New Roman;Times;Serif"/>
          <w:b w:val="false"/>
          <w:i/>
          <w:caps w:val="false"/>
          <w:smallCaps w:val="false"/>
          <w:sz w:val="20"/>
        </w:rPr>
        <w:t>Benchmark Transition Event</w:t>
      </w:r>
      <w:r>
        <w:rPr>
          <w:rFonts w:ascii="Times New Roman;Times;Serif" w:hAnsi="Times New Roman;Times;Serif"/>
          <w:b w:val="false"/>
          <w:i w:val="false"/>
          <w:caps w:val="false"/>
          <w:smallCaps w:val="false"/>
          <w:sz w:val="20"/>
        </w:rPr>
        <w:t>,” the relevant Reference Time in respect of any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clause (2) or (3) of the definition of “Benchmark Transition Event,” the later of (a) the date of the public statement or publication of information referenced therein and (b) the date on which the administrator of the Benchmark permanently or indefinitely ceases to provide the Benchmark;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clause (4) of the definition of “Benchmark Transition Event,” the date of the public statement or publication of information referenced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for purposes of the definitions of Benchmark Replacement Date and Benchmark Transition Event, references to the Benchmark also include any reference rate underlying the Benchmark (for example, if the Benchmark becomes Compounded SOFR, references to the Benchmark would include SOFR).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Benchmark Transition Event</w:t>
      </w:r>
      <w:r>
        <w:rPr>
          <w:rFonts w:ascii="Times New Roman;Times;Serif" w:hAnsi="Times New Roman;Times;Serif"/>
          <w:b w:val="false"/>
          <w:i w:val="false"/>
          <w:caps w:val="false"/>
          <w:smallCaps w:val="false"/>
          <w:sz w:val="20"/>
        </w:rPr>
        <w:t>” means the occurrence of one or more of the following events with respect to the then-current Benchmark: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Benchmark is Three-Month Term SOFR, (a) the Relevant Governmental Body has not selected or recommended a forward-looking term rate for a tenor of three months based on SOFR, (b) the development of a forward-looking term rate for a tenor of three months based on SOFR that has been recommended or selected by the Relevant Governmental Body is not complete or (c) the Company determines that the use of a forward-looking rate for a tenor of three months based on SOFR is not administratively feasible;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public statement or publication of information by or on behalf of the administrator of the Benchmark announcing that such administrator has ceased or will cease to provide the Benchmark, permanently or indefinitely, provided that, at the time of such statement or publication, there is no successor administrator that will continue to provide the Benchmark;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provided that, at the time of such statement or publication, there is no successor administrator that will continue to provide the Benchmark;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public statement or publication of information by the regulatory supervisor for the administrator of the Benchmark announcing that the Benchmark is no longer representative.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Calculation Agent</w:t>
      </w:r>
      <w:r>
        <w:rPr>
          <w:rFonts w:ascii="Times New Roman;Times;Serif" w:hAnsi="Times New Roman;Times;Serif"/>
          <w:b w:val="false"/>
          <w:i w:val="false"/>
          <w:caps w:val="false"/>
          <w:smallCaps w:val="false"/>
          <w:sz w:val="20"/>
        </w:rPr>
        <w:t>” means the agent appointed by the Company prior to the commencement of the Floating Rate Period (which may include the Company or any of its Affiliates) to act in accordance with Section 2.4 of this Supplemental Indenture. The Company shall initially act as Calculation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Compounded SOFR</w:t>
      </w:r>
      <w:r>
        <w:rPr>
          <w:rFonts w:ascii="Times New Roman;Times;Serif" w:hAnsi="Times New Roman;Times;Serif"/>
          <w:b w:val="false"/>
          <w:i w:val="false"/>
          <w:caps w:val="false"/>
          <w:smallCaps w:val="false"/>
          <w:sz w:val="20"/>
        </w:rPr>
        <w:t>” means the compounded average of SOFRs for the applicable Corresponding Tenor, with the rate, or methodology for this rate, and conventions for this rate being established by the Calculation Agent in accordance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rate, or methodology for this rate, and conventions for this rate selected or recommended by the Relevant Governmental Body for determining Compounded SOFR; provided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and to the extent that, the Calculation Agent determines that Compounded SOFR cannot be determined in accordance with clause (1) above, then the rate, or methodology for this rate, and conventions for this rate that have been selected by the Calculation Agent giving due consideration to any industry-accepted market practice for U.S. dollar-denominated floating rate securities at such time.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calculation of Compounded SOFR shall exclude the Benchmark Replacement Adjustment (if applicable) and the spread of 222 basis points per annum.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Corresponding Tenor</w:t>
      </w:r>
      <w:r>
        <w:rPr>
          <w:rFonts w:ascii="Times New Roman;Times;Serif" w:hAnsi="Times New Roman;Times;Serif"/>
          <w:b w:val="false"/>
          <w:i w:val="false"/>
          <w:caps w:val="false"/>
          <w:smallCaps w:val="false"/>
          <w:sz w:val="20"/>
        </w:rPr>
        <w:t>” with respect to a Benchmark Replacement means a tenor (including overnight) having approximately the same length (disregarding business day adjustment) as the applicable tenor for the then-current Benchmark.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Federal Reserve</w:t>
      </w:r>
      <w:r>
        <w:rPr>
          <w:rFonts w:ascii="Times New Roman;Times;Serif" w:hAnsi="Times New Roman;Times;Serif"/>
          <w:b w:val="false"/>
          <w:i w:val="false"/>
          <w:caps w:val="false"/>
          <w:smallCaps w:val="false"/>
          <w:sz w:val="20"/>
        </w:rPr>
        <w:t>” has the meaning provided in the definition of “Tier 2 Capital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Federal Reserve Bank of New York’s Website</w:t>
      </w:r>
      <w:r>
        <w:rPr>
          <w:rFonts w:ascii="Times New Roman;Times;Serif" w:hAnsi="Times New Roman;Times;Serif"/>
          <w:b w:val="false"/>
          <w:i w:val="false"/>
          <w:caps w:val="false"/>
          <w:smallCaps w:val="false"/>
          <w:sz w:val="20"/>
        </w:rPr>
        <w:t>” means the website of the Federal Reserve Bank of New York at http://www.newyorkfed.org, or any successor source.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Fixed Rate Interest Payment Date</w:t>
      </w:r>
      <w:r>
        <w:rPr>
          <w:rFonts w:ascii="Times New Roman;Times;Serif" w:hAnsi="Times New Roman;Times;Serif"/>
          <w:b w:val="false"/>
          <w:i w:val="false"/>
          <w:caps w:val="false"/>
          <w:smallCaps w:val="false"/>
          <w:sz w:val="20"/>
        </w:rPr>
        <w:t>” has the meaning provided in Section 2.4(a).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Fixed Rate Period</w:t>
      </w:r>
      <w:r>
        <w:rPr>
          <w:rFonts w:ascii="Times New Roman;Times;Serif" w:hAnsi="Times New Roman;Times;Serif"/>
          <w:b w:val="false"/>
          <w:i w:val="false"/>
          <w:caps w:val="false"/>
          <w:smallCaps w:val="false"/>
          <w:sz w:val="20"/>
        </w:rPr>
        <w:t>” has the meaning provided in Section 2.4(a).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Fixed Rate Regular Record Date</w:t>
      </w:r>
      <w:r>
        <w:rPr>
          <w:rFonts w:ascii="Times New Roman;Times;Serif" w:hAnsi="Times New Roman;Times;Serif"/>
          <w:b w:val="false"/>
          <w:i w:val="false"/>
          <w:caps w:val="false"/>
          <w:smallCaps w:val="false"/>
          <w:sz w:val="20"/>
        </w:rPr>
        <w:t>” has the meaning provided in Section 2.4(a).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Floating Rate Interest Payment Date</w:t>
      </w:r>
      <w:r>
        <w:rPr>
          <w:rFonts w:ascii="Times New Roman;Times;Serif" w:hAnsi="Times New Roman;Times;Serif"/>
          <w:b w:val="false"/>
          <w:i w:val="false"/>
          <w:caps w:val="false"/>
          <w:smallCaps w:val="false"/>
          <w:sz w:val="20"/>
        </w:rPr>
        <w:t>” has the meaning provided in Section 2.4(b).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Floating Rate Period</w:t>
      </w:r>
      <w:r>
        <w:rPr>
          <w:rFonts w:ascii="Times New Roman;Times;Serif" w:hAnsi="Times New Roman;Times;Serif"/>
          <w:b w:val="false"/>
          <w:i w:val="false"/>
          <w:caps w:val="false"/>
          <w:smallCaps w:val="false"/>
          <w:sz w:val="20"/>
        </w:rPr>
        <w:t>” has the meaning provided in Section 2.4(b).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Floating Rate Regular Record Date</w:t>
      </w:r>
      <w:r>
        <w:rPr>
          <w:rFonts w:ascii="Times New Roman;Times;Serif" w:hAnsi="Times New Roman;Times;Serif"/>
          <w:b w:val="false"/>
          <w:i w:val="false"/>
          <w:caps w:val="false"/>
          <w:smallCaps w:val="false"/>
          <w:sz w:val="20"/>
        </w:rPr>
        <w:t>” has the meaning provided in Section 2.4(b).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Interest Period</w:t>
      </w:r>
      <w:r>
        <w:rPr>
          <w:rFonts w:ascii="Times New Roman;Times;Serif" w:hAnsi="Times New Roman;Times;Serif"/>
          <w:b w:val="false"/>
          <w:i w:val="false"/>
          <w:caps w:val="false"/>
          <w:smallCaps w:val="false"/>
          <w:sz w:val="20"/>
        </w:rPr>
        <w:t>” means the period from and including the immediately preceding Interest Payment Date in respect of which interest has been paid or duly provided for or, if no interest has been paid or duly provided for, from and including the Issue Date to, but excluding, the applicable Interest Payment Date or the Maturity Date or date of earlier redemption, if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Interpolated Benchmark</w:t>
      </w:r>
      <w:r>
        <w:rPr>
          <w:rFonts w:ascii="Times New Roman;Times;Serif" w:hAnsi="Times New Roman;Times;Serif"/>
          <w:b w:val="false"/>
          <w:i w:val="false"/>
          <w:caps w:val="false"/>
          <w:smallCaps w:val="false"/>
          <w:sz w:val="20"/>
        </w:rPr>
        <w:t>” with respect to the Benchmark means the rate determined for the Corresponding Tenor by interpolating on a linear basis between: (1) the Benchmark for the longest period (for which the Benchmark is available) that is shorter than the Corresponding Tenor, and (2) the Benchmark for the shortest period (for which the Benchmark is available) that is longer than the Corresponding Tenor.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ISDA</w:t>
      </w:r>
      <w:r>
        <w:rPr>
          <w:rFonts w:ascii="Times New Roman;Times;Serif" w:hAnsi="Times New Roman;Times;Serif"/>
          <w:b w:val="false"/>
          <w:i w:val="false"/>
          <w:caps w:val="false"/>
          <w:smallCaps w:val="false"/>
          <w:sz w:val="20"/>
        </w:rPr>
        <w:t>” means the International Swaps and Derivatives Association, Inc. or any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ISDA Definitions</w:t>
      </w:r>
      <w:r>
        <w:rPr>
          <w:rFonts w:ascii="Times New Roman;Times;Serif" w:hAnsi="Times New Roman;Times;Serif"/>
          <w:b w:val="false"/>
          <w:i w:val="false"/>
          <w:caps w:val="false"/>
          <w:smallCaps w:val="false"/>
          <w:sz w:val="20"/>
        </w:rPr>
        <w:t>” means the 2021 ISDA Definitions published by the International Swaps and Derivatives Association, Inc. or any successor thereto, as amended or supplemented from time to time, or any successor definitional booklet for interest rate derivatives published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ISDA Fallback Adjustment</w:t>
      </w:r>
      <w:r>
        <w:rPr>
          <w:rFonts w:ascii="Times New Roman;Times;Serif" w:hAnsi="Times New Roman;Times;Serif"/>
          <w:b w:val="false"/>
          <w:i w:val="false"/>
          <w:caps w:val="false"/>
          <w:smallCaps w:val="false"/>
          <w:sz w:val="20"/>
        </w:rPr>
        <w:t>” means the spread adjustment (which may be a positive or negative value or zero) that would apply for derivatives transactions referencing the ISDA Definitions to be determined upon the occurrence of an index cessation event with respect to the Benchmark for the applicable tenor.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ISDA Fallback Rate</w:t>
      </w:r>
      <w:r>
        <w:rPr>
          <w:rFonts w:ascii="Times New Roman;Times;Serif" w:hAnsi="Times New Roman;Times;Serif"/>
          <w:b w:val="false"/>
          <w:i w:val="false"/>
          <w:caps w:val="false"/>
          <w:smallCaps w:val="false"/>
          <w:sz w:val="20"/>
        </w:rPr>
        <w:t>”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Issue Date</w:t>
      </w:r>
      <w:r>
        <w:rPr>
          <w:rFonts w:ascii="Times New Roman;Times;Serif" w:hAnsi="Times New Roman;Times;Serif"/>
          <w:b w:val="false"/>
          <w:i w:val="false"/>
          <w:caps w:val="false"/>
          <w:smallCaps w:val="false"/>
          <w:sz w:val="20"/>
        </w:rPr>
        <w:t>” means September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Maturity Date</w:t>
      </w:r>
      <w:r>
        <w:rPr>
          <w:rFonts w:ascii="Times New Roman;Times;Serif" w:hAnsi="Times New Roman;Times;Serif"/>
          <w:b w:val="false"/>
          <w:i w:val="false"/>
          <w:caps w:val="false"/>
          <w:smallCaps w:val="false"/>
          <w:sz w:val="20"/>
        </w:rPr>
        <w:t>” has the meaning provided in Section 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Reference Time</w:t>
      </w:r>
      <w:r>
        <w:rPr>
          <w:rFonts w:ascii="Times New Roman;Times;Serif" w:hAnsi="Times New Roman;Times;Serif"/>
          <w:b w:val="false"/>
          <w:i w:val="false"/>
          <w:caps w:val="false"/>
          <w:smallCaps w:val="false"/>
          <w:sz w:val="20"/>
        </w:rPr>
        <w:t>” with respect to any determination of the Benchmark means (a) if the Benchmark is Three-Month Term SOFR, the date that is two (2) U.S. Government Securities Business Days prior to the start of the relevant floating rate Interest Period, or such other time determined by the Calculation Agent after giving effect to the Three-Month Term SOFR Conventions, and (b) if the Benchmark is not Three-Month Term SOFR, the time determined by the Calculation Agent after giving effect to the Benchmark Replacement Conforming 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Relevant Governmental Body</w:t>
      </w:r>
      <w:r>
        <w:rPr>
          <w:rFonts w:ascii="Times New Roman;Times;Serif" w:hAnsi="Times New Roman;Times;Serif"/>
          <w:b w:val="false"/>
          <w:i w:val="false"/>
          <w:caps w:val="false"/>
          <w:smallCaps w:val="false"/>
          <w:sz w:val="20"/>
        </w:rPr>
        <w:t>” means the Federal Reserve and/or the Federal Reserve Bank of New York, or a committee officially endorsed or convened by the Federal Reserve and/or the Federal Reserve Bank of New York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SOFR</w:t>
      </w:r>
      <w:r>
        <w:rPr>
          <w:rFonts w:ascii="Times New Roman;Times;Serif" w:hAnsi="Times New Roman;Times;Serif"/>
          <w:b w:val="false"/>
          <w:i w:val="false"/>
          <w:caps w:val="false"/>
          <w:smallCaps w:val="false"/>
          <w:sz w:val="20"/>
        </w:rPr>
        <w:t>” means the secured overnight financing rate published by the Federal Reserve Bank of New York, as the administrator of the Benchmark (or a successor administrator), on the Federal Reserve Bank of New York’s Website.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Event</w:t>
      </w:r>
      <w:r>
        <w:rPr>
          <w:rFonts w:ascii="Times New Roman;Times;Serif" w:hAnsi="Times New Roman;Times;Serif"/>
          <w:b w:val="false"/>
          <w:i w:val="false"/>
          <w:caps w:val="false"/>
          <w:smallCaps w:val="false"/>
          <w:sz w:val="20"/>
        </w:rPr>
        <w:t>” means the receipt by the Company of an opinion of independent tax counsel to the effect that as a result of (a) an amendment to or change (including any announced prospective amendment or change) in any law or treaty, or any regulation thereunder, of the United States or any of its political subdivisions or taxing authorities; (b) a judicial decision, administrative action, official administrative pronouncement, ruling, regulatory procedure, regulation, notice or announcement, including any notice or announcement of intent to adopt or promulgate any ruling, regulatory procedure or regulation (any of the foregoing, an “</w:t>
      </w:r>
      <w:r>
        <w:rPr>
          <w:rFonts w:ascii="Times New Roman;Times;Serif" w:hAnsi="Times New Roman;Times;Serif"/>
          <w:b w:val="false"/>
          <w:i/>
          <w:caps w:val="false"/>
          <w:smallCaps w:val="false"/>
          <w:sz w:val="20"/>
        </w:rPr>
        <w:t>Administrative or Judicial Action</w:t>
      </w:r>
      <w:r>
        <w:rPr>
          <w:rFonts w:ascii="Times New Roman;Times;Serif" w:hAnsi="Times New Roman;Times;Serif"/>
          <w:b w:val="false"/>
          <w:i w:val="false"/>
          <w:caps w:val="false"/>
          <w:smallCaps w:val="false"/>
          <w:sz w:val="20"/>
        </w:rPr>
        <w:t>”); or (c) an amendment to or change in any official position with respect to, or any interpretation of, an Administrative or Judicial Action or a law or regulation of the United States that differs from the previously generally accepted position or interpretation, in each case, which change or amendment or challenge becomes effective or which pronouncement, decision or challenge is announced on or after the original issue date of the Notes, there is more than an insubstantial risk that interest payable by the Company on the Notes is not, or, within 90 days of the date of such opinion, will not be, deductible by the Company, in whole or in part, for United States federal income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 SOFR</w:t>
      </w:r>
      <w:r>
        <w:rPr>
          <w:rFonts w:ascii="Times New Roman;Times;Serif" w:hAnsi="Times New Roman;Times;Serif"/>
          <w:b w:val="false"/>
          <w:i w:val="false"/>
          <w:caps w:val="false"/>
          <w:smallCaps w:val="false"/>
          <w:sz w:val="20"/>
        </w:rPr>
        <w:t>” means the forward-looking term rate based on SOFR that has been selected or recommended by the Relevant Governmental Body.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 SOFR Administrator</w:t>
      </w:r>
      <w:r>
        <w:rPr>
          <w:rFonts w:ascii="Times New Roman;Times;Serif" w:hAnsi="Times New Roman;Times;Serif"/>
          <w:b w:val="false"/>
          <w:i w:val="false"/>
          <w:caps w:val="false"/>
          <w:smallCaps w:val="false"/>
          <w:sz w:val="20"/>
        </w:rPr>
        <w:t>” means CME Group Benchmark Administration Limited (CBA) (or a successor administrator of Three-Month Term SOFR selected by the Calculation Agent in its reasonable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Three-Month Term SOFR</w:t>
      </w:r>
      <w:r>
        <w:rPr>
          <w:rFonts w:ascii="Times New Roman;Times;Serif" w:hAnsi="Times New Roman;Times;Serif"/>
          <w:b w:val="false"/>
          <w:i w:val="false"/>
          <w:caps w:val="false"/>
          <w:smallCaps w:val="false"/>
          <w:sz w:val="20"/>
        </w:rPr>
        <w:t>” means the rate for Term SOFR for a tenor of three months that is published by the Term SOFR Administrator at the Reference Time for any Interest Period, as determined by the Calculation Agent after giving effect to the Three-Month Term SOFR Conventions. All percentages used in or resulting from any calculation of Three-Month Term SOFR shall be rounded, if necessary, to the nearest one-hundred-thousandth of a percentage point, with 0.000005% rounded up to 0.00001%.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Three-Month Term SOFR Conventions</w:t>
      </w:r>
      <w:r>
        <w:rPr>
          <w:rFonts w:ascii="Times New Roman;Times;Serif" w:hAnsi="Times New Roman;Times;Serif"/>
          <w:b w:val="false"/>
          <w:i w:val="false"/>
          <w:caps w:val="false"/>
          <w:smallCaps w:val="false"/>
          <w:sz w:val="20"/>
        </w:rPr>
        <w:t>” means any determination, decision or election with respect to any technical, administrative or operational matter (including with respect to the manner and timing of the publication of Three-Month Term SOFR, or changes to the definition of “interest period,” timing and frequency of determining Three-Month Term SOFR with respect to each Interest Period and making payments of interest, rounding of amounts or tenors, and other administrative matters) that the Calculation Agent decides may be appropriate to reflect the use of Three-Month Term SOFR as the Benchmark in a manner substantially consistent with market practice (or, if the Calculation Agent decides that adoption of any portion of such market practice is not administratively feasible or if the Calculation Agent determines that no market practice for the use of Three-Month Term SOFR exists, in such other manner as the Calculation Agent determines is reasonably necessary).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Tier 2 Capital Event</w:t>
      </w:r>
      <w:r>
        <w:rPr>
          <w:rFonts w:ascii="Times New Roman;Times;Serif" w:hAnsi="Times New Roman;Times;Serif"/>
          <w:b w:val="false"/>
          <w:i w:val="false"/>
          <w:caps w:val="false"/>
          <w:smallCaps w:val="false"/>
          <w:sz w:val="20"/>
        </w:rPr>
        <w:t>” means the Company’s good faith determination that, as a result of (a) any amendment to, or change in, the laws, rules or regulations of the United States (including, for the avoidance of doubt, any agency or instrumentality of the United States, including the Federal Reserve and other federal bank regulatory agencies) or any political subdivision of or in the United States that is enacted or becomes effective after the original issue date of the Notes; (b) any proposed change in those laws, rules or regulations that is announced or becomes effective after the original issue date of the Notes; or (c) any official administrative decision or judicial decision or administrative action or other official pronouncement interpreting or applying those laws, rules, regulations, policies or guidelines with respect thereto that is announced after the original issue date of the Notes, there is more than an insubstantial risk that the Company will not be entitled to treat the Notes then outstanding as “Tier 2 Capital” (or its equivalent) for purposes of the capital adequacy rules or regulations of the Board of Governors of the Federal Reserve System (the “</w:t>
      </w:r>
      <w:r>
        <w:rPr>
          <w:rFonts w:ascii="Times New Roman;Times;Serif" w:hAnsi="Times New Roman;Times;Serif"/>
          <w:b w:val="false"/>
          <w:i/>
          <w:caps w:val="false"/>
          <w:smallCaps w:val="false"/>
          <w:sz w:val="20"/>
        </w:rPr>
        <w:t>Federal Reserve</w:t>
      </w:r>
      <w:r>
        <w:rPr>
          <w:rFonts w:ascii="Times New Roman;Times;Serif" w:hAnsi="Times New Roman;Times;Serif"/>
          <w:b w:val="false"/>
          <w:i w:val="false"/>
          <w:caps w:val="false"/>
          <w:smallCaps w:val="false"/>
          <w:sz w:val="20"/>
        </w:rPr>
        <w:t>”) (or, as and if applicable, the capital adequacy rules or regulations of any successor appropriate federal banking agency) as then in effect and applicable to the Company, for so long as any Notes are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Unadjusted Benchmark Replacement</w:t>
      </w:r>
      <w:r>
        <w:rPr>
          <w:rFonts w:ascii="Times New Roman;Times;Serif" w:hAnsi="Times New Roman;Times;Serif"/>
          <w:b w:val="false"/>
          <w:i w:val="false"/>
          <w:caps w:val="false"/>
          <w:smallCaps w:val="false"/>
          <w:sz w:val="20"/>
        </w:rPr>
        <w:t>” means the Benchmark Replacement excluding the Benchmark Replacement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U.S. Government Securities Business Day</w:t>
      </w:r>
      <w:r>
        <w:rPr>
          <w:rFonts w:ascii="Times New Roman;Times;Serif" w:hAnsi="Times New Roman;Times;Serif"/>
          <w:b w:val="false"/>
          <w:i w:val="false"/>
          <w:caps w:val="false"/>
          <w:smallCaps w:val="false"/>
          <w:sz w:val="20"/>
        </w:rPr>
        <w:t>” means any day except for a Saturday, Sunday or a day on which the Securities Industry and Financial Markets Association recommends that the fixed income departments of its members be closed for the entire day for purposes of trading in U.S. government securities.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Section 101 of the Base Indenture is amended and supplemented, solely with respect to the Notes, by replacing the corresponding defined terms in the Base Indenture with the following defined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Business Day</w:t>
      </w:r>
      <w:r>
        <w:rPr>
          <w:rFonts w:ascii="Times New Roman;Times;Serif" w:hAnsi="Times New Roman;Times;Serif"/>
          <w:b w:val="false"/>
          <w:i w:val="false"/>
          <w:caps w:val="false"/>
          <w:smallCaps w:val="false"/>
          <w:sz w:val="20"/>
        </w:rPr>
        <w:t>” means (a) each Monday, Tuesday, Wednesday, Thursday and Friday which is not a day on which it is a U.S. federal holiday or any day on which banking institutions in New York are authorized or obligated by law, regulation or executive order to close, or (b) a day on which the Corporate Trust Office of the Trustee is not closed for business; provided, that, when used in connection with an amount that bears interest at a rate based on SOFR or Term SOFR or any direct or indirect calculation or determination of SOFR or Term SOFR, the term “Business Day” means any such day that is also a U.S. Government Securities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has the meaning provided in Section 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Redemption Date</w:t>
      </w:r>
      <w:r>
        <w:rPr>
          <w:rFonts w:ascii="Times New Roman;Times;Serif" w:hAnsi="Times New Roman;Times;Serif"/>
          <w:b w:val="false"/>
          <w:i w:val="false"/>
          <w:caps w:val="false"/>
          <w:smallCaps w:val="false"/>
          <w:sz w:val="20"/>
        </w:rPr>
        <w:t>” has the meaning provided in Section 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Two</w:t>
      </w:r>
      <w:r>
        <w:rPr>
          <w:rFonts w:ascii="Times New Roman;Times;Serif" w:hAnsi="Times New Roman;Times;Serif"/>
          <w:b/>
          <w:i w:val="false"/>
          <w:caps/>
          <w:sz w:val="20"/>
          <w:u w:val="single"/>
        </w:rPr>
        <w:br/>
        <w:br/>
        <w:t>CREATION OF THE NOTES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Designation of Series</w:t>
      </w:r>
      <w:r>
        <w:rPr>
          <w:rFonts w:ascii="Times New Roman;Times;Serif" w:hAnsi="Times New Roman;Times;Serif"/>
          <w:b w:val="false"/>
          <w:i w:val="false"/>
          <w:caps w:val="false"/>
          <w:smallCaps w:val="false"/>
          <w:sz w:val="20"/>
        </w:rPr>
        <w:t>. Pursuant to the terms hereof and Sections 201 and 301 of the Base Indenture, the Company hereby creates a series of its subordinated debt securities designated as the “7.00% Fixed-to-Floating Rate Subordinated Notes due 2036” (the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 which Notes shall be deemed “Securities” for all purposes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Form and Minimum Denomination of Notes</w:t>
      </w:r>
      <w:r>
        <w:rPr>
          <w:rFonts w:ascii="Times New Roman;Times;Serif" w:hAnsi="Times New Roman;Times;Serif"/>
          <w:b w:val="false"/>
          <w:i w:val="false"/>
          <w:caps w:val="false"/>
          <w:smallCaps w:val="false"/>
          <w:sz w:val="20"/>
        </w:rPr>
        <w:t>. The definitive form of the Notes shall be substantially in the form set forth in Exhibit A attached hereto, which is incorporated herein and made part hereof. The Notes shall bear interest and have such other terms as are stated in the form of definitive Notes or in the Indenture. The Stated Maturity of the Notes shall be October 1, 2036 (the “</w:t>
      </w:r>
      <w:r>
        <w:rPr>
          <w:rFonts w:ascii="Times New Roman;Times;Serif" w:hAnsi="Times New Roman;Times;Serif"/>
          <w:b w:val="false"/>
          <w:i/>
          <w:caps w:val="false"/>
          <w:smallCaps w:val="false"/>
          <w:sz w:val="20"/>
        </w:rPr>
        <w:t>Maturity Date</w:t>
      </w:r>
      <w:r>
        <w:rPr>
          <w:rFonts w:ascii="Times New Roman;Times;Serif" w:hAnsi="Times New Roman;Times;Serif"/>
          <w:b w:val="false"/>
          <w:i w:val="false"/>
          <w:caps w:val="false"/>
          <w:smallCaps w:val="false"/>
          <w:sz w:val="20"/>
        </w:rPr>
        <w:t>”). The Notes shall be issued in minimum denominations of $1,000 and integral multiples of $1,000 in excess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Initial Limit on Amount of Series</w:t>
      </w:r>
      <w:r>
        <w:rPr>
          <w:rFonts w:ascii="Times New Roman;Times;Serif" w:hAnsi="Times New Roman;Times;Serif"/>
          <w:b w:val="false"/>
          <w:i w:val="false"/>
          <w:caps w:val="false"/>
          <w:smallCaps w:val="false"/>
          <w:sz w:val="20"/>
        </w:rPr>
        <w:t>. The Notes shall initially be limited to U.S. $100,000,000 in aggregate principal amount, and may, upon the execution and delivery of this Supplemental Indenture or from time to time thereafter, be executed by the Company and delivered to the Trustee for authentication, and the Trustee shall thereupon authenticate and deliver said Notes to or upon the delivery of a Company Order. Following the initial issuance of the Notes, the aggregate principal amount of Notes may be increased as provided in Section 2.10 of this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Notes will bear interest at a fixed rate of 7.00% per annum from and including September 30, 2026 to, but excluding, October 1, 2031 or the date of earlier redemption (the “</w:t>
      </w:r>
      <w:r>
        <w:rPr>
          <w:rFonts w:ascii="Times New Roman;Times;Serif" w:hAnsi="Times New Roman;Times;Serif"/>
          <w:b w:val="false"/>
          <w:i/>
          <w:caps w:val="false"/>
          <w:smallCaps w:val="false"/>
          <w:sz w:val="20"/>
        </w:rPr>
        <w:t>Fixed Rate Period</w:t>
      </w:r>
      <w:r>
        <w:rPr>
          <w:rFonts w:ascii="Times New Roman;Times;Serif" w:hAnsi="Times New Roman;Times;Serif"/>
          <w:b w:val="false"/>
          <w:i w:val="false"/>
          <w:caps w:val="false"/>
          <w:smallCaps w:val="false"/>
          <w:sz w:val="20"/>
        </w:rPr>
        <w:t>”). Interest accrued on the Notes during the Fixed Rate Period will be payable semi-annually in arrears on April 1 and October 1 of each year, commencing on April 1, 2027 (each such date, a “</w:t>
      </w:r>
      <w:r>
        <w:rPr>
          <w:rFonts w:ascii="Times New Roman;Times;Serif" w:hAnsi="Times New Roman;Times;Serif"/>
          <w:b w:val="false"/>
          <w:i/>
          <w:caps w:val="false"/>
          <w:smallCaps w:val="false"/>
          <w:sz w:val="20"/>
        </w:rPr>
        <w:t>Fixed Rate Interest Payment Date</w:t>
      </w:r>
      <w:r>
        <w:rPr>
          <w:rFonts w:ascii="Times New Roman;Times;Serif" w:hAnsi="Times New Roman;Times;Serif"/>
          <w:b w:val="false"/>
          <w:i w:val="false"/>
          <w:caps w:val="false"/>
          <w:smallCaps w:val="false"/>
          <w:sz w:val="20"/>
        </w:rPr>
        <w:t>”). The last Fixed Rate Interest Payment Date shall be October 1, 2031, unless the Notes are earlier redeemed. The interest payable during the Fixed Rate Period will be paid to each Holder in whose name a Note is registered at the close of business on the fifteenth day (whether or not a Business Day) immediately preceding the applicable Fixed Rate Interest Payment Date (each such date, a “</w:t>
      </w:r>
      <w:r>
        <w:rPr>
          <w:rFonts w:ascii="Times New Roman;Times;Serif" w:hAnsi="Times New Roman;Times;Serif"/>
          <w:b w:val="false"/>
          <w:i/>
          <w:caps w:val="false"/>
          <w:smallCaps w:val="false"/>
          <w:sz w:val="20"/>
        </w:rPr>
        <w:t>Fixed Rate Regular Record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Notes will bear a floating interest rate from, and including October 1, 2031, to, but excluding, the Maturity Date or the date of earlier redemption (the “</w:t>
      </w:r>
      <w:r>
        <w:rPr>
          <w:rFonts w:ascii="Times New Roman;Times;Serif" w:hAnsi="Times New Roman;Times;Serif"/>
          <w:b w:val="false"/>
          <w:i/>
          <w:caps w:val="false"/>
          <w:smallCaps w:val="false"/>
          <w:sz w:val="20"/>
        </w:rPr>
        <w:t>Floating Rate Period</w:t>
      </w:r>
      <w:r>
        <w:rPr>
          <w:rFonts w:ascii="Times New Roman;Times;Serif" w:hAnsi="Times New Roman;Times;Serif"/>
          <w:b w:val="false"/>
          <w:i w:val="false"/>
          <w:caps w:val="false"/>
          <w:smallCaps w:val="false"/>
          <w:sz w:val="20"/>
        </w:rPr>
        <w:t>”). The floating interest rate will be reset quarterly, and the interest rate for any Floating Rate Period shall be equal to the then-current Three-Month Term SOFR plus 222 basis points for each quarterly interest period during the Floating Rate Period. During the Floating Rate Period, interest on the Notes will be payable quarterly in arrears on January 1, April 1, July 1 and October 1 of each year, commencing on January 1, 2032 (each such date, a “</w:t>
      </w:r>
      <w:r>
        <w:rPr>
          <w:rFonts w:ascii="Times New Roman;Times;Serif" w:hAnsi="Times New Roman;Times;Serif"/>
          <w:b w:val="false"/>
          <w:i/>
          <w:caps w:val="false"/>
          <w:smallCaps w:val="false"/>
          <w:sz w:val="20"/>
        </w:rPr>
        <w:t>Floating Rate Interest Payment Date</w:t>
      </w:r>
      <w:r>
        <w:rPr>
          <w:rFonts w:ascii="Times New Roman;Times;Serif" w:hAnsi="Times New Roman;Times;Serif"/>
          <w:b w:val="false"/>
          <w:i w:val="false"/>
          <w:caps w:val="false"/>
          <w:smallCaps w:val="false"/>
          <w:sz w:val="20"/>
        </w:rPr>
        <w:t>” and, together with a Fixed Rate Interest Payment Date, an “</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The interest payable during the Floating Rate Period will be paid to each Holder in whose name a Note is registered at the close of business on the fifteenth day (whether or not a Business Day) immediately preceding the applicable Floating Rate Interest Payment Date (each such date, a “</w:t>
      </w:r>
      <w:r>
        <w:rPr>
          <w:rFonts w:ascii="Times New Roman;Times;Serif" w:hAnsi="Times New Roman;Times;Serif"/>
          <w:b w:val="false"/>
          <w:i/>
          <w:caps w:val="false"/>
          <w:smallCaps w:val="false"/>
          <w:sz w:val="20"/>
        </w:rPr>
        <w:t>Floating Rate Regular Record Date</w:t>
      </w:r>
      <w:r>
        <w:rPr>
          <w:rFonts w:ascii="Times New Roman;Times;Serif" w:hAnsi="Times New Roman;Times;Serif"/>
          <w:b w:val="false"/>
          <w:i w:val="false"/>
          <w:caps w:val="false"/>
          <w:smallCaps w:val="false"/>
          <w:sz w:val="20"/>
        </w:rPr>
        <w:t>”). Notwithstanding the foregoing, if Three-Month Term SOFR (or other applicable Benchmark) is less than zero, then Three-Month Term SOFR (or other such Benchmark) shall be deemed to be zero. The Calculation Agent will provide the Company and the Trustee with the interest rate in effect on the Notes promptly after the Reference Time (or such other date of determination for the applicable Benchmark).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amount of interest payable on any Fixed Rate Interest Payment Date during the Fixed Rate Period will be computed on the basis of a 360-day year consisting of twelve 30-day months to, but excluding, October 1, 2031, and, the amount of interest payable on any Floating Rate Interest Payment Date during the Floating Rate Period will be computed on the basis of a 360-day year and the actual number of days elapsed.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or the Calculation Agent, as applicable, shall calculate the amount of interest payable on any Interest Payment Date and the Trustee shall have no duty to confirm or verify any such calculation. In the event that any scheduled Interest Payment Date or the Maturity Date for the Notes falls on a day that is not a Business Day, then payment of interest payable on such Interest Payment Date or of principal and interest payable on the Maturity Date will be paid on the next succeeding day which is a Business Day (any payment made on such date will be treated as being made on the date that the payment was first due and no interest on such payment will accrue for the period from and after such scheduled Interest Payment Date); provided, that in the event that any scheduled Floating Rate Interest Payment Date falls on a day that is not a Business Day and the next succeeding Business Day falls in the next succeeding calendar month, such Floating Rate Interest Payment Date will be accelerated to the immediately preceding Business Day, and, in each such case, the amounts payable on such Business Day will include interest accrued to, but excluding, such Business Day. U.S. dollar amounts resulting from interest calculations will be rounded to the nearest cent, with one-half cent being rounded upward.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take such actions as are necessary to ensure that from the commencement of the Floating Rate Period for so long as any of the Notes remain outstanding there will at all times be a Calculation Agent appointed to calculate Three-Month Term SOFR in respect of each Floating Rate Period. The calculation of Three-Month Term SOFR for each applicable Floating Rate Period by the Calculation Agent will (in the absence of manifest error) be final and binding. The Calculation Agent’s determination of any interest rate and its calculation of interest payments for any period will be maintained on file at the Calculation Agent’s principal offices, will be made available to any Holder of the Notes upon request and will be provided to the Trustee. The Calculation Agent shall have all the rights, protections and indemnities afforded to the Trustee under the Base Indenture and hereunder. The Calculation Agent may be removed by the Company at any time. If the Calculation Agent is unable or unwilling to act as Calculation Agent or is removed by the Company, the Company will promptly appoint a replacement Calculation Agent. The Calculation Agent may not resign its duties without a successor having been duly appointed; provided, that if a successor Calculation Agent has not been appointed by the Company and such successor accepted such position within 30 days after the giving of notice of resignation by the Calculation Agent, then the resigning Calculation Agent may petition, at the expense of the Company, any court of competent jurisdiction for the appointment of a successor Calculation Agent with respect to such series. The Trustee shall not be under any duty to succeed to, assume or otherwise perform, any duties of the Calculation Agent, or to appoint a successor or replacement in the event of the Calculation Agent’s resignation or removal or to replace the Calculation Agent in the event of a default, breach or failure of performance on the part of the Calculation Agent with respect to the Calculation Agent’s duties and obligations hereunder. For the avoidance of doubt, if at any time there is no Calculation Agent appointed by the Company, then the Company shall be the Calculation Agent. The Company may appoint itself or any of its Affiliates to be the Calculation Agent.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Effect of Benchmark Transition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Calculation Agent determines that a Benchmark Transition Event and its related Benchmark Replacement Date have occurred on or prior to the Reference Time in respect of any determination of the Benchmark on any date, then the Benchmark Replacement will replace the then-current Benchmark for all purposes relating to the Notes during the Floating Rate Period in respect of such determination on such date and all determinations on all subsequent dates. In connection with the implementation of a Benchmark Replacement, the Calculation Agent will have the right to make Benchmark Replacement Conforming Changes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Notwithstanding anything set forth in Section 2.4(b) above, if the Calculation Agent determines on or prior to the relevant Reference Time that a Benchmark Transition Event and its related Benchmark Replacement Date have occurred with respect to Three-Month Term SOFR, then the provisions set forth in this Section 2.4(f) will thereafter apply to all determinations of the interest rate on the Notes during the Floating Rate Period. After a Benchmark Transition Event and its related Benchmark Replacement Date have occurred, the interest rate on the Notes for each Interest Period during the Floating Rate Period will be an annual rate equal to the Benchmark Replacement plus 222 basis points.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Calculation Agent is expressly authorized to make certain determinations, decisions and elections under the terms of the Notes, including with respect to the use of Three-Month Term SOFR as the Benchmark and under this Section 2.4(f). Any determination, decision or election that may be made by the Calculation Agent under the terms of the Notes, including any determination with respect to a tenor, rate or adjustment or of the occurrence or non-occurrence of an event, circumstance or date and any decision to take or refrain from taking any action or selection (A) will be conclusive and binding on the Holders of the Notes and the Trustee absent manifest error, (B) if made by the Company as Calculation Agent, will be made in the Company’s sole discretion, (C) if made by a Calculation Agent other than the Company, will be made after consultation with the Company, and the Calculation Agent will not make any such determination, decision or election to which the Company reasonably objects and (D) notwithstanding anything to the contrary herein or in the Base Indenture, shall become effective without consent from the Holders of the Notes, the Trustee or any other party. If the Calculation Agent fails to make any determination, decision or election that it is required to make under the terms of the Notes, then the Company will make such determination, decision or election on the same basis as described above.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(or its Calculation Agent) shall notify the Trustee in writing (i) upon the occurrence of the Benchmark Transition Event or the Benchmark Replacement Date, and (ii) of any Benchmark Replacements, Benchmark Replacement Conforming Changes and other items affecting the interest rate on the Notes after a Benchmark Transition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Trustee (including in its capacity as Paying Agent) shall have no (i) responsibility or liability for the (A) Three-Month Term SOFR Conventions, (B) selection of an alternative reference rate to Three-Month Term SOFR (including, without limitation, whether the conditions for the designation of such rate have been satisfied or whether such rate is a Benchmark Replacement or an Unadjusted Benchmark Replacement), (C) determination or calculation of a Benchmark Replacement, or (D) determination of whether a Benchmark Transition Event or Benchmark Replacement Date has occurred, and in each such case under clauses (A) through (D) above shall be entitled to conclusively rely upon the selection, determination, and/or calculation thereof as provided by the Company or its Calculation Agent, as applicable, and (ii) liability for any failure or delay in performing its duties hereunder as a result of the unavailability of a Benchmark rate as described in the definition thereof, including, without limitation, as a result of the Company’s or Calculation Agent’s failure to select a Benchmark Replacement or the Calculation Agent’s failure to calculate a Benchmark. The Trustee shall be entitled to rely conclusively on all notices from the Company or its Calculation Agent regarding any Benchmark or Benchmark Replacement, including, without limitation, in regards to Three-Month Term SOFR Conventions, a Benchmark Transition Event, Benchmark Replacement Date, and Benchmark Replacement Conforming Changes. The Trustee shall not be responsible or liable for the actions or omissions of the Calculation Agent, or any failure or delay in the performance of the Calculation Agent’s duties or obligations, nor shall it be under any obligation to monitor or oversee the performance of the Calculation Agent. The Trustee shall be entitled to conclusively rely on any determination made, and any instruction, notice, Officers’ Certificate or other instruction or information provided by the Calculation Agent without independent verification, investigation or inquiry of any kind. The Trustee shall not be obligated to enter into any amendment or supplement hereto that adversely impacts its rights, duties, obligations, immunities or liabilities (including, without limitation, in connection with the adoption of any Benchmark Replacement Conforming 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If the then-current Benchmark is Three-Month Term SOFR, the Calculation Agent will have the right to establish the Three-Month Term SOFR Conventions, and if any of the foregoing provisions concerning the calculation of the interest rate and the payment of interest during the Floating Rate Period are inconsistent with any of the Three-Month Term SOFR Conventions determined by the Calculation Agent, then the relevant Three-Month Term SOFR Conventions will apply.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 The Notes shall be redeemable, in each case, in whole or in part from time to time, at the option of the Company beginning with the Interest Payment Date on October 1, 2031, but not prior thereto (except upon the occurrence of certain events specified below), and on any Interest Payment Date thereafter (each, a “</w:t>
      </w:r>
      <w:r>
        <w:rPr>
          <w:rFonts w:ascii="Times New Roman;Times;Serif" w:hAnsi="Times New Roman;Times;Serif"/>
          <w:b w:val="false"/>
          <w:i/>
          <w:caps w:val="false"/>
          <w:smallCaps w:val="false"/>
          <w:sz w:val="20"/>
        </w:rPr>
        <w:t>Redemption Date</w:t>
      </w:r>
      <w:r>
        <w:rPr>
          <w:rFonts w:ascii="Times New Roman;Times;Serif" w:hAnsi="Times New Roman;Times;Serif"/>
          <w:b w:val="false"/>
          <w:i w:val="false"/>
          <w:caps w:val="false"/>
          <w:smallCaps w:val="false"/>
          <w:sz w:val="20"/>
        </w:rPr>
        <w:t>”), subject to obtaining the prior approval of the Federal Reserve to the extent such approval is then required under the rules of the Federal Reserve (or, as and if applicable, the rules of any successor appropriate bank regulatory agency). The Notes may not otherwise be redeemed prior to the Maturity Date, except that the Company may, at its option, redeem the Notes before the Maturity Date, in whole, but not in part, subject to obtaining the prior approval of the Federal Reserve to the extent such approval is then required under the rules of the Federal Reserve (or, as and if applicable, the rules of any successor appropriate bank regulatory agency), upon the occurrence of a Tier 2 Capital Event or a Tax Event, or if the Company is required to register as an investment company pursuant to the Investment Company Act of 1940, as amended (15 U.S.C. 80a-1 et seq.). Any such redemption will be at a Redemption Price equal to 100% of the principal amount of the Notes to be redeemed, plus accrued and unpaid interest to, but excluding, the Redemption Date fixed by the Company. The provisions of Article Eleven of the Base Indenture shall apply to any redemption of the Notes pursuant to this Section 2.5; provided that a notice of redemption shall be delivered not less than 10 nor more than 60 days prior to the Redemption Date, to each Holder of Notes to be redeemed in whole or in part. Any partial redemption will be made in accordance with DTC’s applicable procedures among all of the Holders of the Notes. If any Note is to be redeemed in part only, the notice of redemption relating to such Note shall state that it is a partial redemption and the portion of the principal amount thereof to be redeemed, and a replacement Note in principal amount equal to the unredeemed portion thereof will be issued in the name of the Holder thereof upon cancellation of the original Note. The Notes are not subject to redemption or prepayment at the option of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of redemption may be conditional in the Company’s discretion on one or more conditions precedent, and the Redemption Date may be delayed until such time as any or all of such conditions have been satisfied or revoked by the Company if it determines that such conditions will not be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Solely with respect to the Notes, Section 501(v) and Section 501(vi) of the Base Indenture shall be replaced with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 the Company or the Bank shall commence a voluntary case under any applicable Bankruptcy Law, or shall consent to the entry of an order for relief in any involuntary case under any such law, or shall consent to the appointment of or taking possession by a Custodian of the Company or the Bank or for any substantial part of its property, or shall make any general assignment for the benefit of creditors, or shall fail generally to pay its debts as they become due or shall take any corporate action in furtherance of any of the foregoing; or</w:t>
      </w:r>
    </w:p>
    <w:p>
      <w:pPr>
        <w:pStyle w:val="TextBody"/>
        <w:bidi w:val="0"/>
        <w:spacing w:before="0" w:after="0"/>
        <w:ind w:left="72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court having jurisdiction in the premises shall enter a decree or order for relief in respect of the Company or the Bank in an involuntary case under any Bankruptcy Law, or appointing a Custodian of the Company or the Bank or for any substantial part of its property, or ordering the winding up or liquidation of its affairs, and such decree or order shall remain unstayed and in effect for a period of 60 consecutive days; 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No Repayment or Sinking Fund</w:t>
      </w:r>
      <w:r>
        <w:rPr>
          <w:rFonts w:ascii="Times New Roman;Times;Serif" w:hAnsi="Times New Roman;Times;Serif"/>
          <w:b w:val="false"/>
          <w:i w:val="false"/>
          <w:caps w:val="false"/>
          <w:smallCaps w:val="false"/>
          <w:sz w:val="20"/>
        </w:rPr>
        <w:t>. The Notes will not be subject to redemption or repayment at the option of any Holder at any time prior to the Stated Maturity. No sinking fund will be provided with respect to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Notes Not Convertible or Exchangeable</w:t>
      </w:r>
      <w:r>
        <w:rPr>
          <w:rFonts w:ascii="Times New Roman;Times;Serif" w:hAnsi="Times New Roman;Times;Serif"/>
          <w:b w:val="false"/>
          <w:i w:val="false"/>
          <w:caps w:val="false"/>
          <w:smallCaps w:val="false"/>
          <w:sz w:val="20"/>
        </w:rPr>
        <w:t>. The Notes will not be convertible into or exchangeable for equity securities, other securities, or assets or property of the Company or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Issuance of Notes; Selection of Depository</w:t>
      </w:r>
      <w:r>
        <w:rPr>
          <w:rFonts w:ascii="Times New Roman;Times;Serif" w:hAnsi="Times New Roman;Times;Serif"/>
          <w:b w:val="false"/>
          <w:i w:val="false"/>
          <w:caps w:val="false"/>
          <w:smallCaps w:val="false"/>
          <w:sz w:val="20"/>
        </w:rPr>
        <w:t>. The Notes shall be issued as global Securities in permanent global form, without coupons. The initial depositary for the Notes shall be DTC.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Further Issuances</w:t>
      </w:r>
      <w:r>
        <w:rPr>
          <w:rFonts w:ascii="Times New Roman;Times;Serif" w:hAnsi="Times New Roman;Times;Serif"/>
          <w:b w:val="false"/>
          <w:i w:val="false"/>
          <w:caps w:val="false"/>
          <w:smallCaps w:val="false"/>
          <w:sz w:val="20"/>
        </w:rPr>
        <w:t>. The Company may, without consent of the Holders of the Notes but in compliance with the terms of the Indenture, increase the principal amount of the Notes by issuing additional Notes on the same terms and conditions as the Notes, except for any differences in the issue price and interest accrued prior to the date of issuance of the additional Notes, and with the same CUSIP number as the Notes; provided that such additional Notes are fungible with the Notes for U.S. federal income tax purposes. The Notes and any additional Notes issued by the Company will rank equally and ratably and shall be treated as a single series of Securities for all purposes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No Additional Amounts</w:t>
      </w:r>
      <w:r>
        <w:rPr>
          <w:rFonts w:ascii="Times New Roman;Times;Serif" w:hAnsi="Times New Roman;Times;Serif"/>
          <w:b w:val="false"/>
          <w:i w:val="false"/>
          <w:caps w:val="false"/>
          <w:smallCaps w:val="false"/>
          <w:sz w:val="20"/>
        </w:rPr>
        <w:t>. In the event that any payment on the Notes is subject to withholding of any U.S. federal income tax or other tax or assessment (as a result of a change in law or otherwise), the Company will not pay additional amounts with respect to such tax or assessment.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Three</w:t>
      </w:r>
      <w:r>
        <w:rPr>
          <w:rFonts w:ascii="Times New Roman;Times;Serif" w:hAnsi="Times New Roman;Times;Serif"/>
          <w:b/>
          <w:i w:val="false"/>
          <w:caps/>
          <w:sz w:val="20"/>
          <w:u w:val="single"/>
        </w:rPr>
        <w:br/>
        <w:br/>
        <w:t>APPOINTMENT OF THE TRUSTEE FOR THE NOTES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Security Registrar; Paying Agent</w:t>
      </w:r>
      <w:r>
        <w:rPr>
          <w:rFonts w:ascii="Times New Roman;Times;Serif" w:hAnsi="Times New Roman;Times;Serif"/>
          <w:b w:val="false"/>
          <w:i w:val="false"/>
          <w:caps w:val="false"/>
          <w:smallCaps w:val="false"/>
          <w:sz w:val="20"/>
        </w:rPr>
        <w:t>. The Company appoints Wilmington Trust, National Association as Security Registrar and Paying Agent with respect to the Notes, and the Trustee hereby accepts such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Four</w:t>
      </w:r>
      <w:r>
        <w:rPr>
          <w:rFonts w:ascii="Times New Roman;Times;Serif" w:hAnsi="Times New Roman;Times;Serif"/>
          <w:b/>
          <w:i w:val="false"/>
          <w:caps/>
          <w:sz w:val="20"/>
          <w:u w:val="single"/>
        </w:rPr>
        <w:br/>
        <w:br/>
        <w:t>CONSOLIDATION, MERGER, CONVEYANCE, TRANSFER or LEASE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Company May Consolidate, Etc., Only on Certain Terms</w:t>
      </w:r>
      <w:r>
        <w:rPr>
          <w:rFonts w:ascii="Times New Roman;Times;Serif" w:hAnsi="Times New Roman;Times;Serif"/>
          <w:b w:val="false"/>
          <w:i w:val="false"/>
          <w:caps w:val="false"/>
          <w:smallCaps w:val="false"/>
          <w:sz w:val="20"/>
        </w:rPr>
        <w:t>. Solely with respect to the Notes, the text of clause (i) of Section 801 of the Base Indenture shall be replaced with the following:</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Person formed by such consolidation or into which the Company is merged or the Person which acquires by conveyance or transfer, or which leases, all or substantially all of the properties and assets of the Company shall be a corporation, partnership, limited liability company or trust, shall be organized and validly existing under the laws of the United States of America, any state thereof or the District of Columbia and, if such surviving Person is not the Company, shall expressly assume, by an indenture supplemental hereto, executed and delivered to the Trustee, the due and punctual payment of the principal of and any premium and interest on all the Notes and the performance or observance of every covenant of the Indenture on the part of the Company to be performed or observed;”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Five</w:t>
      </w:r>
      <w:r>
        <w:rPr>
          <w:rFonts w:ascii="Times New Roman;Times;Serif" w:hAnsi="Times New Roman;Times;Serif"/>
          <w:b/>
          <w:i w:val="false"/>
          <w:caps/>
          <w:sz w:val="20"/>
          <w:u w:val="single"/>
        </w:rPr>
        <w:br/>
        <w:br/>
        <w:t>DEFEASANCE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Defeasance Applicable to the Notes</w:t>
      </w:r>
      <w:r>
        <w:rPr>
          <w:rFonts w:ascii="Times New Roman;Times;Serif" w:hAnsi="Times New Roman;Times;Serif"/>
          <w:b w:val="false"/>
          <w:i w:val="false"/>
          <w:caps w:val="false"/>
          <w:smallCaps w:val="false"/>
          <w:sz w:val="20"/>
        </w:rPr>
        <w:t>. Pursuant to Section 301(xviii) and Section 1301 of the Base Indenture, provision is hereby made for both (i) defeasance of the Notes under Section 1302 of the Base Indenture and (ii) covenant defeasance of the Notes under Section 1303 of the Base Indenture, in each case, upon the terms and conditions contained in Article Thirteen of the Base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Six</w:t>
      </w:r>
      <w:r>
        <w:rPr>
          <w:rFonts w:ascii="Times New Roman;Times;Serif" w:hAnsi="Times New Roman;Times;Serif"/>
          <w:b/>
          <w:i w:val="false"/>
          <w:caps/>
          <w:sz w:val="20"/>
          <w:u w:val="single"/>
        </w:rPr>
        <w:br/>
        <w:br/>
        <w:t>MISCELLANEOUS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Application of Supplemental Indenture</w:t>
      </w:r>
      <w:r>
        <w:rPr>
          <w:rFonts w:ascii="Times New Roman;Times;Serif" w:hAnsi="Times New Roman;Times;Serif"/>
          <w:b w:val="false"/>
          <w:i w:val="false"/>
          <w:caps w:val="false"/>
          <w:smallCaps w:val="false"/>
          <w:sz w:val="20"/>
        </w:rPr>
        <w:t>. Each and every term and condition contained in this Supplemental Indenture that modifies, amends or supplements the terms and conditions of the Base Indenture shall apply only to the Notes created hereby and not to any future series of Securities established under the Base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Benefits of this Supplemental Indenture</w:t>
      </w:r>
      <w:r>
        <w:rPr>
          <w:rFonts w:ascii="Times New Roman;Times;Serif" w:hAnsi="Times New Roman;Times;Serif"/>
          <w:b w:val="false"/>
          <w:i w:val="false"/>
          <w:caps w:val="false"/>
          <w:smallCaps w:val="false"/>
          <w:sz w:val="20"/>
        </w:rPr>
        <w:t>. Nothing contained in this Supplemental Indenture or in the Notes, express or implied, shall give to any Person, other than the parties to the Indenture, any Security Registrar, any Paying Agent, any Authenticating Agent and their successors under the Indenture (and, with respect to Article Fifteen of the Base Indenture, the holders of Senior Debt), and the Holders, any benefit or any legal or equitable right, remedy or claim under the Base Indenture or this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Modification of the Base Indenture</w:t>
      </w:r>
      <w:r>
        <w:rPr>
          <w:rFonts w:ascii="Times New Roman;Times;Serif" w:hAnsi="Times New Roman;Times;Serif"/>
          <w:b w:val="false"/>
          <w:i w:val="false"/>
          <w:caps w:val="false"/>
          <w:smallCaps w:val="false"/>
          <w:sz w:val="20"/>
        </w:rPr>
        <w:t>. Except as expressly provided by this Supplemental Indenture, the provisions of the Base Indenture shall govern the terms and conditions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6.4.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This Supplemental Indenture shall be effective as of the date first above written and upon the execution and delivery hereof by each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Supplemental Indenture may be executed in any number of counterparts, each of which so executed shall be deemed to be an original, but all such counterparts shall together constitute but one and the same instrument. The exchange of copies of this Supplemental Indenture and of signature pages transmitted by electronic signature (e.g., “.pdf” or “.tif” or DocuSign or other electronic signature platform) or facsimile signature shall constitute effective execution and delivery of this Supplemental Indenture as to the parties hereto and may be used in lieu of the original Supplemental Indenture for all purposes. Signatures of the parties hereto transmitted by electronic signature (i.e., “.pdf” or “.tif” or DocuSign or other electronic signature platform) or facsimile signature shall be deemed to be their original signatures for all purposes provided that, notwithstanding anything herein to the contrary, the Trustee is not under any obligation to agree to accept electronic signatures in any form or in any format unless expressly agreed to by such Trustee pursuant to procedures approved by such Trustee.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6.6.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All covenants and agreements in the Indenture, as supplemented and amended by this Supplemental Indenture, by the Company will bind its successors and assigns, whether so expressed or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6.7.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Article and Section headings in this Supplemental Indenture are for convenience only and shall not affect the construction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6.8.          </w:t>
      </w:r>
      <w:r>
        <w:rPr>
          <w:rFonts w:ascii="Times New Roman;Times;Serif" w:hAnsi="Times New Roman;Times;Serif"/>
          <w:b w:val="false"/>
          <w:i w:val="false"/>
          <w:caps w:val="false"/>
          <w:smallCaps w:val="false"/>
          <w:sz w:val="20"/>
          <w:u w:val="single"/>
        </w:rPr>
        <w:t>Separability Clause</w:t>
      </w:r>
      <w:r>
        <w:rPr>
          <w:rFonts w:ascii="Times New Roman;Times;Serif" w:hAnsi="Times New Roman;Times;Serif"/>
          <w:b w:val="false"/>
          <w:i w:val="false"/>
          <w:caps w:val="false"/>
          <w:smallCaps w:val="false"/>
          <w:sz w:val="20"/>
        </w:rPr>
        <w:t>. In case any provision in this Supplemental Indenture or in the Notes shall be invalid, illegal or unenforceable, the validity, legality and enforceability of the remaining provisions shall not in any way be affected or impaired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6.9.          </w:t>
      </w:r>
      <w:r>
        <w:rPr>
          <w:rFonts w:ascii="Times New Roman;Times;Serif" w:hAnsi="Times New Roman;Times;Serif"/>
          <w:b w:val="false"/>
          <w:i w:val="false"/>
          <w:caps w:val="false"/>
          <w:smallCaps w:val="false"/>
          <w:sz w:val="20"/>
          <w:u w:val="single"/>
        </w:rPr>
        <w:t>Satisfaction and Discharge of Indenture</w:t>
      </w:r>
      <w:r>
        <w:rPr>
          <w:rFonts w:ascii="Times New Roman;Times;Serif" w:hAnsi="Times New Roman;Times;Serif"/>
          <w:b w:val="false"/>
          <w:i w:val="false"/>
          <w:caps w:val="false"/>
          <w:smallCaps w:val="false"/>
          <w:sz w:val="20"/>
        </w:rPr>
        <w:t>. The Company shall be deemed to have satisfied all of its obligations under this Supplemental Indenture upon compliance with the provisions of Section 1302 of the Indenture relating to defeasance of the Notes, to the extent set forth in Section 1301.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6.10.      </w:t>
      </w:r>
      <w:r>
        <w:rPr>
          <w:rFonts w:ascii="Times New Roman;Times;Serif" w:hAnsi="Times New Roman;Times;Serif"/>
          <w:b w:val="false"/>
          <w:i w:val="false"/>
          <w:caps w:val="false"/>
          <w:smallCaps w:val="false"/>
          <w:sz w:val="20"/>
          <w:u w:val="single"/>
        </w:rPr>
        <w:t>Ratification of the Base Indenture</w:t>
      </w:r>
      <w:r>
        <w:rPr>
          <w:rFonts w:ascii="Times New Roman;Times;Serif" w:hAnsi="Times New Roman;Times;Serif"/>
          <w:b w:val="false"/>
          <w:i w:val="false"/>
          <w:caps w:val="false"/>
          <w:smallCaps w:val="false"/>
          <w:sz w:val="20"/>
        </w:rPr>
        <w:t>. The Base Indenture as supplemented by this Supplemental Indenture, is in all respects ratified and confirmed, and this Supplemental Indenture will be deemed part of the Indenture in the manner and to the extent herein and therein provided. The Base Indenture and this Supplemental Indenture shall be read, taken and construed as one and the same instrument. All provisions included in this Supplemental Indenture supersede any conflicting provisions included in the Base Indenture unless not permitted by law. The Trustee accepts the trusts created by the Base Indenture, as supplemented by this Supplemental Indenture, and agrees to perform the same upon the terms and conditions of the Base Indenture, as supplemented by this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6.11.      </w:t>
      </w:r>
      <w:r>
        <w:rPr>
          <w:rFonts w:ascii="Times New Roman;Times;Serif" w:hAnsi="Times New Roman;Times;Serif"/>
          <w:b w:val="false"/>
          <w:i w:val="false"/>
          <w:caps w:val="false"/>
          <w:smallCaps w:val="false"/>
          <w:sz w:val="20"/>
          <w:u w:val="single"/>
        </w:rPr>
        <w:t>Governing Law; Submission to Jurisdiction</w:t>
      </w:r>
      <w:r>
        <w:rPr>
          <w:rFonts w:ascii="Times New Roman;Times;Serif" w:hAnsi="Times New Roman;Times;Serif"/>
          <w:b w:val="false"/>
          <w:i w:val="false"/>
          <w:caps w:val="false"/>
          <w:smallCaps w:val="false"/>
          <w:sz w:val="20"/>
        </w:rPr>
        <w:t>. This Supplemental Indenture and the Notes shall be governed by, and construed in accordance with, the laws of the State of New York BUT WITHOUT GIVING EFFECT TO APPLICABLE PRINCIPLES OF CONFLICTS OF LAW TO THE EXTENT THE APPLICATION OF THE LAWS OF ANOTHER JURISDICTION WOULD BE REQUIRED THEREBY (OTHER THAN SECTIONS 5-1401 AND 5-1402 OF THE NEW YORK GENERAL OBLIGATIONS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hereby (i) irrevocably submit to the non-exclusive jurisdiction of any federal or state court sitting in the Borough of Manhattan, the city of New York, (ii) waive any objection to the laying of venue in any such action or proceeding in such courts, and (iii) waive any objection that such courts are an inconvenient forum or do not have jurisdiction over any party.</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6.12.      </w:t>
      </w:r>
      <w:r>
        <w:rPr>
          <w:rFonts w:ascii="Times New Roman;Times;Serif" w:hAnsi="Times New Roman;Times;Serif"/>
          <w:b w:val="false"/>
          <w:i w:val="false"/>
          <w:caps w:val="false"/>
          <w:smallCaps w:val="false"/>
          <w:sz w:val="20"/>
          <w:u w:val="single"/>
        </w:rPr>
        <w:t>Trustee Disclaimer</w:t>
      </w:r>
      <w:r>
        <w:rPr>
          <w:rFonts w:ascii="Times New Roman;Times;Serif" w:hAnsi="Times New Roman;Times;Serif"/>
          <w:b w:val="false"/>
          <w:i w:val="false"/>
          <w:caps w:val="false"/>
          <w:smallCaps w:val="false"/>
          <w:sz w:val="20"/>
        </w:rPr>
        <w:t>. The Trustee accepts the amendments of the Base Indenture effected by this Supplemental Indenture, but on the terms and conditions set forth in the Base Indenture, including the terms and provisions defining and limiting the liabilities and responsibilities of the Trustee. Without limiting the generality of the foregoing, the Trustee shall not be responsible in any manner whatsoever for or with respect to (i) any of the recitals contained herein, all of which recitals are made solely by the Company, (ii) the proper authorization hereof by the Company by action or otherwise, (iii) the due execution hereof by the Company or (iv) the consequences of any amendment herein provided for.</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Supplemental Indenture to be duly executed by their respective officers hereunto duly authorized, all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774" w:type="dxa"/>
        <w:jc w:val="left"/>
        <w:tblInd w:w="0" w:type="dxa"/>
        <w:tblLayout w:type="fixed"/>
        <w:tblCellMar>
          <w:top w:w="0" w:type="dxa"/>
          <w:left w:w="0" w:type="dxa"/>
          <w:bottom w:w="0" w:type="dxa"/>
          <w:right w:w="0" w:type="dxa"/>
        </w:tblCellMar>
      </w:tblPr>
      <w:tblGrid>
        <w:gridCol w:w="75"/>
        <w:gridCol w:w="560"/>
        <w:gridCol w:w="4139"/>
      </w:tblGrid>
      <w:tr>
        <w:trPr/>
        <w:tc>
          <w:tcPr>
            <w:tcW w:w="75" w:type="dxa"/>
            <w:tcBorders/>
            <w:vAlign w:val="center"/>
          </w:tcPr>
          <w:p>
            <w:pPr>
              <w:pStyle w:val="TableContents"/>
              <w:bidi w:val="0"/>
              <w:spacing w:before="0" w:after="283"/>
              <w:jc w:val="left"/>
              <w:rPr/>
            </w:pPr>
            <w:r>
              <w:rPr/>
              <w:t> </w:t>
            </w:r>
          </w:p>
        </w:tc>
        <w:tc>
          <w:tcPr>
            <w:tcW w:w="469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BURKE &amp; HERBERT FINANCIAL SERVICES CORP.</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41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39" w:type="dxa"/>
            <w:tcBorders>
              <w:bottom w:val="single" w:sz="8"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Kirtan Parikh</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1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Kirtan Parikh</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1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Financial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6964" w:type="dxa"/>
        <w:jc w:val="left"/>
        <w:tblInd w:w="0" w:type="dxa"/>
        <w:tblLayout w:type="fixed"/>
        <w:tblCellMar>
          <w:top w:w="0" w:type="dxa"/>
          <w:left w:w="0" w:type="dxa"/>
          <w:bottom w:w="0" w:type="dxa"/>
          <w:right w:w="0" w:type="dxa"/>
        </w:tblCellMar>
      </w:tblPr>
      <w:tblGrid>
        <w:gridCol w:w="75"/>
        <w:gridCol w:w="1511"/>
        <w:gridCol w:w="5378"/>
      </w:tblGrid>
      <w:tr>
        <w:trPr/>
        <w:tc>
          <w:tcPr>
            <w:tcW w:w="75" w:type="dxa"/>
            <w:tcBorders/>
            <w:vAlign w:val="center"/>
          </w:tcPr>
          <w:p>
            <w:pPr>
              <w:pStyle w:val="TableContents"/>
              <w:bidi w:val="0"/>
              <w:spacing w:before="0" w:after="283"/>
              <w:jc w:val="left"/>
              <w:rPr/>
            </w:pPr>
            <w:r>
              <w:rPr/>
              <w:t> </w:t>
            </w:r>
          </w:p>
        </w:tc>
        <w:tc>
          <w:tcPr>
            <w:tcW w:w="6889" w:type="dxa"/>
            <w:gridSpan w:val="2"/>
            <w:tcBorders/>
            <w:vAlign w:val="center"/>
          </w:tcPr>
          <w:p>
            <w:pPr>
              <w:pStyle w:val="TableContents"/>
              <w:bidi w:val="0"/>
              <w:spacing w:before="0" w:after="283"/>
              <w:jc w:val="left"/>
              <w:rPr/>
            </w:pPr>
            <w:r>
              <w:rPr>
                <w:b/>
              </w:rPr>
              <w:t>WILMINGTON TRUST, NATIONAL ASSOCIATION,</w:t>
            </w:r>
            <w:r>
              <w:rPr/>
              <w:t xml:space="preserve"> as Trustee</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pPr>
            <w:r>
              <w:rPr/>
              <w:t> </w:t>
            </w:r>
          </w:p>
        </w:tc>
        <w:tc>
          <w:tcPr>
            <w:tcW w:w="537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378" w:type="dxa"/>
            <w:tcBorders>
              <w:bottom w:val="single" w:sz="8" w:space="0" w:color="000000"/>
            </w:tcBorders>
            <w:tcMar>
              <w:bottom w:w="28" w:type="dxa"/>
            </w:tcMar>
            <w:vAlign w:val="center"/>
          </w:tcPr>
          <w:p>
            <w:pPr>
              <w:pStyle w:val="TableContents"/>
              <w:bidi w:val="0"/>
              <w:spacing w:before="0" w:after="283"/>
              <w:jc w:val="left"/>
              <w:rPr/>
            </w:pPr>
            <w:r>
              <w:rPr/>
              <w:t>/s/ Michael H. Wass</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378" w:type="dxa"/>
            <w:tcBorders/>
            <w:vAlign w:val="center"/>
          </w:tcPr>
          <w:p>
            <w:pPr>
              <w:pStyle w:val="TableContents"/>
              <w:bidi w:val="0"/>
              <w:spacing w:before="0" w:after="283"/>
              <w:jc w:val="left"/>
              <w:rPr/>
            </w:pPr>
            <w:r>
              <w:rPr/>
              <w:t>Michael H. Wass</w:t>
            </w:r>
          </w:p>
        </w:tc>
      </w:tr>
      <w:tr>
        <w:trPr/>
        <w:tc>
          <w:tcPr>
            <w:tcW w:w="75" w:type="dxa"/>
            <w:tcBorders/>
            <w:vAlign w:val="center"/>
          </w:tcPr>
          <w:p>
            <w:pPr>
              <w:pStyle w:val="TableContents"/>
              <w:bidi w:val="0"/>
              <w:spacing w:before="0" w:after="283"/>
              <w:jc w:val="left"/>
              <w:rPr/>
            </w:pPr>
            <w:r>
              <w:rPr/>
              <w:t> </w:t>
            </w:r>
          </w:p>
        </w:tc>
        <w:tc>
          <w:tcPr>
            <w:tcW w:w="15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378" w:type="dxa"/>
            <w:tcBorders/>
            <w:vAlign w:val="center"/>
          </w:tcPr>
          <w:p>
            <w:pPr>
              <w:pStyle w:val="TableContents"/>
              <w:bidi w:val="0"/>
              <w:spacing w:before="0" w:after="283"/>
              <w:jc w:val="left"/>
              <w:rPr/>
            </w:pPr>
            <w:r>
              <w:rPr/>
              <w:t>Vice President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First Supplemental Indenture</w:t>
      </w:r>
      <w:r>
        <w:rPr>
          <w:rFonts w:ascii="Times New Roman;Times;Serif" w:hAnsi="Times New Roman;Times;Serif"/>
          <w:b w:val="false"/>
          <w:i w:val="false"/>
          <w:caps w:val="false"/>
          <w:smallCaps w:val="false"/>
          <w:sz w:val="20"/>
        </w:rPr>
        <w:t>]</w:t>
      </w:r>
    </w:p>
    <w:p>
      <w:pPr>
        <w:pStyle w:val="TextBody"/>
        <w:bidi w:val="0"/>
        <w:spacing w:before="0" w:after="0"/>
        <w:ind w:left="432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FORM OF FACE OF 7.00% FIXED-TO-FLOATING</w:t>
        <w:br/>
        <w:t>RATE SUBORDINATED NOTES DUE 2036</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LEGEND SHALL APPEAR ON THE FACE OF EACH GLOBAL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AN UNSECURED SUBORDINATED DEBT OBLIGATION OF BURKE &amp; HERBERT FINANCIAL SERVICES CORP. THIS SECURITY IS NOT A DEPOSIT OR SAVINGS ACCOUNT AND IS NOT INSURED BY THE FEDERAL DEPOSIT INSURANCE CORPORATION OR ANY OTHER GOVERNMENTAL AGENCY OR INSTRUMENTALITY.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BURKE &amp; HERBERT FINANCIAL SERVICES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7.00% Fixed-to-Floating Rate Subordinated Notes due 2036</w:t>
      </w:r>
    </w:p>
    <w:p>
      <w:pPr>
        <w:pStyle w:val="TextBody"/>
        <w:bidi w:val="0"/>
        <w:spacing w:before="0" w:after="0"/>
        <w:ind w:left="0" w:right="0" w:hanging="0"/>
        <w:jc w:val="center"/>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665"/>
        <w:gridCol w:w="800"/>
      </w:tblGrid>
      <w:tr>
        <w:trPr/>
        <w:tc>
          <w:tcPr>
            <w:tcW w:w="665" w:type="dxa"/>
            <w:tcBorders/>
            <w:vAlign w:val="center"/>
          </w:tcPr>
          <w:p>
            <w:pPr>
              <w:pStyle w:val="TableContents"/>
              <w:bidi w:val="0"/>
              <w:spacing w:before="0" w:after="283"/>
              <w:jc w:val="left"/>
              <w:rPr/>
            </w:pPr>
            <w:r>
              <w:rPr/>
              <w:t xml:space="preserve">No. </w:t>
            </w:r>
            <w:r>
              <w:rPr>
                <w:u w:val="single"/>
              </w:rPr>
              <w:t xml:space="preserve">[ </w:t>
            </w:r>
            <w:r>
              <w:rPr/>
              <w:t>]</w:t>
            </w:r>
          </w:p>
        </w:tc>
        <w:tc>
          <w:tcPr>
            <w:tcW w:w="800" w:type="dxa"/>
            <w:tcBorders/>
            <w:vAlign w:val="center"/>
          </w:tcPr>
          <w:p>
            <w:pPr>
              <w:pStyle w:val="TableContents"/>
              <w:bidi w:val="0"/>
              <w:spacing w:before="0" w:after="283"/>
              <w:jc w:val="right"/>
              <w:rPr/>
            </w:pPr>
            <w:r>
              <w:rPr/>
              <w:t>U.S.$[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12135YAA6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NO. US12135YAA64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BURKE &amp; HERBERT FINANCIAL SERVICES CORP., a corporation duly organized and existing under the laws of the Commonwealth of Virginia (herein called the “Company,” which term includes any successor Person under the Indenture hereinafter referred to), for value received, hereby promises to pay to </w:t>
        <w:tab/>
        <w:t>, or registered assigns, the principal sum of $</w:t>
        <w:tab/>
        <w:t>U.S. Dollars on October 1, 2036 (such date is hereinafter referred to as the “Stated Maturity Date”), unless redeemed prior to such date, and to pay interest thereon (i) from, and including, September 30, 2026, to, but excluding, October 1, 2031, unless redeemed prior to such date, at a rate of 7.00% per annum, semi-annually in arrears on April 1 and October 1 of each year, commencing April 1, 2027 (each such date, a “Fixed Rate Interest Payment Date,” with the period from, and including, September 30, 2026 to, but excluding, the first Fixed Rate Interest Payment Date and each successive period from, and including, a Fixed Rate Interest Payment Date to, but excluding, the next Fixed Rate Interest Payment Date being a “Fixed Rate Period”) and (ii) from, and including, October 1, 2031 to, but excluding, the Stated Maturity Date, unless redeemed subsequent to October 1, 2031 but prior to the Stated Maturity Date, at a rate equal to Three-Month Term SOFR, reset quarterly, plus 222 basis points, or such other rate as determined pursuant to the Supplemental Indenture, payable quarterly in arrears on January 1, April 1, July 1 and October 1 of each year through the Stated Maturity Date or earlier Redemption Date (each, a “Floating Rate Interest Payment Date” and, together with the Fixed Rate Interest Payment Dates, the “Interest Payment Dates,” with the period from, and including, October 1, 2031 to, but excluding, the first Floating Rate Interest Payment Date and each successive period from, and including a Floating Rate Interest Payment Date to, but excluding, the next Floating Rate Interest Payment Date being a “Floating Rate Period”). The amount of interest payable on any Fixed Rate Interest Payment Date during the Fixed Rate Period will be computed on the basis of a 360-day year consisting of twelve 30-day months up to, but excluding October 1, 2031, and, the amount of interest payable on any Floating Rate Interest Payment Date during the Floating Rate Period will be computed on the basis of a 360-day year and the number of days actually elapsed. In the event that any scheduled Interest Payment Date or the Maturity Date for this Security falls on a day that is not a Business Day, then payment of interest payable on such Interest Payment Date will be paid on the next succeeding day which is a Business Day (any payment made on such date will be treated as being made on the date that the payment was first due and no interest on such payment will accrue for the period from and after such scheduled Interest Payment Date); provided, that in the event that any scheduled Floating Rate Interest Payment Date falls on a day that is not a Business Day and the next succeeding Business Day falls in the next succeeding calendar month, such Floating Rate Interest Payment Date will be accelerated to the immediately preceding Business Day, and, in each such case, the amounts payable on such Business Day will include interest accrued to, but excluding, such Business Day. All percentages used in or resulting from any calculation of Three-Month Term SOFR shall be rounded, if necessary, to the nearest one hundred-thousandth of a percentage point, with 0.000005% rounded up to 0.00001%.</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so payable, and punctually paid or duly provided for, on any Interest Payment Date will, as provided in such Indenture, be paid to the Person in whose name this Security (or one or more Predecessor Securities) is registered at the close of business on the fifteenth day (whether or not a Business Day) immediately preceding the applicable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Company,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principal of (and premium, if any) and interest on this Security will be made at the corporate trust office of the Trustee or at the office of any paying agent that the Company may designate, in such coin or currency of the United States of America as at the time of payment is legal tender for payment of public and private debts.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on the reverse hereof, which further provisions shall for all purposes have the same effect as if set forth at this place.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on the reverse hereof by manual signature, this Security shall not be entitled to any benefit under the Indenture or be valid or obligatory for any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9504" w:type="dxa"/>
        <w:jc w:val="left"/>
        <w:tblInd w:w="0" w:type="dxa"/>
        <w:tblLayout w:type="fixed"/>
        <w:tblCellMar>
          <w:top w:w="0" w:type="dxa"/>
          <w:left w:w="0" w:type="dxa"/>
          <w:bottom w:w="0" w:type="dxa"/>
          <w:right w:w="0" w:type="dxa"/>
        </w:tblCellMar>
      </w:tblPr>
      <w:tblGrid>
        <w:gridCol w:w="4805"/>
        <w:gridCol w:w="4068"/>
        <w:gridCol w:w="631"/>
      </w:tblGrid>
      <w:tr>
        <w:trPr/>
        <w:tc>
          <w:tcPr>
            <w:tcW w:w="4805" w:type="dxa"/>
            <w:tcBorders/>
            <w:vAlign w:val="center"/>
          </w:tcPr>
          <w:p>
            <w:pPr>
              <w:pStyle w:val="TableContents"/>
              <w:bidi w:val="0"/>
              <w:spacing w:before="0" w:after="283"/>
              <w:jc w:val="left"/>
              <w:rPr/>
            </w:pPr>
            <w:r>
              <w:rPr/>
              <w:t> </w:t>
            </w:r>
          </w:p>
        </w:tc>
        <w:tc>
          <w:tcPr>
            <w:tcW w:w="469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BURKE &amp; HERBERT FINANCIAL SERVICES CORP.</w:t>
            </w:r>
          </w:p>
        </w:tc>
      </w:tr>
      <w:tr>
        <w:trPr/>
        <w:tc>
          <w:tcPr>
            <w:tcW w:w="4805" w:type="dxa"/>
            <w:tcBorders/>
            <w:vAlign w:val="center"/>
          </w:tcPr>
          <w:p>
            <w:pPr>
              <w:pStyle w:val="TableContents"/>
              <w:bidi w:val="0"/>
              <w:spacing w:before="0" w:after="283"/>
              <w:jc w:val="left"/>
              <w:rPr/>
            </w:pPr>
            <w:r>
              <w:rPr/>
              <w:t> </w:t>
            </w:r>
          </w:p>
        </w:tc>
        <w:tc>
          <w:tcPr>
            <w:tcW w:w="4068"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Dated: __________________________________</w:t>
            </w:r>
          </w:p>
        </w:tc>
        <w:tc>
          <w:tcPr>
            <w:tcW w:w="40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3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40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31"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40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31"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55"/>
        <w:gridCol w:w="838"/>
        <w:gridCol w:w="4712"/>
      </w:tblGrid>
      <w:tr>
        <w:trPr/>
        <w:tc>
          <w:tcPr>
            <w:tcW w:w="4655" w:type="dxa"/>
            <w:tcBorders/>
            <w:vAlign w:val="center"/>
          </w:tcPr>
          <w:p>
            <w:pPr>
              <w:pStyle w:val="TableContents"/>
              <w:bidi w:val="0"/>
              <w:spacing w:before="0" w:after="283"/>
              <w:jc w:val="left"/>
              <w:rPr/>
            </w:pPr>
            <w:r>
              <w:rPr/>
              <w:t> </w:t>
            </w:r>
          </w:p>
        </w:tc>
        <w:tc>
          <w:tcPr>
            <w:tcW w:w="5550" w:type="dxa"/>
            <w:gridSpan w:val="2"/>
            <w:tcBorders/>
            <w:vAlign w:val="center"/>
          </w:tcPr>
          <w:p>
            <w:pPr>
              <w:pStyle w:val="TableContents"/>
              <w:bidi w:val="0"/>
              <w:spacing w:before="0" w:after="283"/>
              <w:jc w:val="left"/>
              <w:rPr/>
            </w:pPr>
            <w:r>
              <w:rPr>
                <w:b/>
              </w:rPr>
              <w:t>WILMINGTON TRUST, NATIONAL ASSOCIATION,</w:t>
            </w:r>
            <w:r>
              <w:rPr/>
              <w:t xml:space="preserve"> as Trustee</w:t>
            </w:r>
          </w:p>
        </w:tc>
      </w:tr>
      <w:tr>
        <w:trPr/>
        <w:tc>
          <w:tcPr>
            <w:tcW w:w="4655"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pPr>
            <w:r>
              <w:rPr/>
              <w:t> </w:t>
            </w:r>
          </w:p>
        </w:tc>
        <w:tc>
          <w:tcPr>
            <w:tcW w:w="4712"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Dated: __________________________________</w:t>
            </w:r>
          </w:p>
        </w:tc>
        <w:tc>
          <w:tcPr>
            <w:tcW w:w="8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71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pPr>
            <w:r>
              <w:rPr/>
              <w:t> </w:t>
            </w:r>
          </w:p>
        </w:tc>
        <w:tc>
          <w:tcPr>
            <w:tcW w:w="4712" w:type="dxa"/>
            <w:tcBorders/>
            <w:vAlign w:val="center"/>
          </w:tcPr>
          <w:p>
            <w:pPr>
              <w:pStyle w:val="TableContents"/>
              <w:bidi w:val="0"/>
              <w:spacing w:before="0" w:after="283"/>
              <w:jc w:val="left"/>
              <w:rPr/>
            </w:pPr>
            <w:r>
              <w:rPr/>
              <w:t>Authorized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REVERSE SIDE OF THE NOTE]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(herein called the “Securities”), issued and to be issued in one or more series under an Indenture, dated as of September 30, 2026, as supplemented by a Supplemental Indenture dated as of September 30, 2026 (herein collectively called the “Indenture,” which term shall have the meaning assigned to it in such instrument), between the Company and Wilmington Trust, National Association, as Trustee (herein called the “Trustee,” which term includes any successor trustee under the Indenture), and reference is hereby made to the Indenture (as amended from time to time) for a statement of the respective rights, limitations of rights, duties and immunities thereunder of the Company, the Trustee, the holders of Senior Debt and the Holders of the Securities and of the terms upon which the Securities are, and are to be, authenticated and delivered. This Security is one of the series designated on the face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indebtedness evidenced by this Security is, to the extent provided in the Indenture, subordinate and subject in right of payment to the prior payment in full of all Senior Debt, and this Security is issued subject to the provisions of the Indenture with respect thereto. Each Holder of this Security, by accepting the same, (a) agrees to and shall be bound by such provisions, (b) authorizes and directs the Trustee on his or her behalf to take such actions as may be necessary or appropriate to effectuate the subordination so provided and (c) appoints the Trustee as his or her attorney-in-fact for any and all such purposes. Each Holder hereof, by his or her acceptance hereof, waives all notice of the acceptance of the subordination provisions contained herein and in the Indenture by each holder of Senior Debt, whether now outstanding or hereafter created, incurred, assumed or guaranteed, and waives reliance by each such holder upon said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defeasance at any time of certain restrictive covenants and Events of Default with respect to this Security, in each case upon compliance with certain conditions set forth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this series shall occur and be continuing, the principal of the Securities of this series may be declared due and payable in the manner and with the effect provided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option, redeem the Securities, in whole or in part, at a redemption price equal to 100% of the principal amount of the Securities to be redeemed, plus accrued and unpaid interest (the “Redemption Price”) to, but excluding, the date of redemption (the “Redemption Date”), on any Interest Payment Date on or after October 1, 2031. The Company may also, at its option, redeem the Securities before the Stated Maturity Date, in whole, but not in part, at any time, upon the occurrence of a Tier 2 Capital Event, a Tax Event or if the Company is required to register as an investment company pursuant to the Investment Company Act of 1940, as amended. Any such redemption will be at a redemption price equal to the Redemption Price to, but excluding, the Redemption Date fixed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of the foregoing, to the extent then required under or pursuant to applicable regulations of the Federal Reserve (or, as and if applicable, the rules of any appropriate successor bank regulatory agency), this Security may not be repaid prior to the Stated Maturity Date without the prior written consent of the Federal Reserve (or, as and if applicable, the rules of any appropriate successor bank regulatory agency). In the event of redemption of this Security in part only, a new Security or Securities of this series and of like tenor for the unredeemed portion hereof will be issued in the name of the Holder hereof upon the cancellation hereof. The provisions of Article Eleven of the Base Indenture and Section 2.5 of this Supplemental Indenture shall apply to the redemption of any Securities by the Company.</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payment on the Securities is subject to withholding of any U.S. federal income tax or other tax or assessment (as a result of a change in law or otherwise), the Company will not pay additional amounts with respect to such tax or assessment.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and offered the Trustee indemnity satisfactory to it,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registrable in the Security Register, upon surrender of this Security for registration of transfer at the office or agency of the Company maintained under Section 1002 of the Indenture for such purpose,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issuable only in registered form without coupons in minimum denominations of $1,000 and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may require payment of a sum sufficient to cover any tax or other governmental charge payable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be governed by and construed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which are defined in the Indenture shall have the meanings assigned to them in the Indenture.</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ASSIGNMENT FORM</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assign this Note, fill in the form below and have your signature guaranteed. I or we assign and transfer this Note to:</w:t>
      </w:r>
    </w:p>
    <w:tbl>
      <w:tblPr>
        <w:tblW w:w="90" w:type="dxa"/>
        <w:jc w:val="left"/>
        <w:tblInd w:w="0" w:type="dxa"/>
        <w:tblLayout w:type="fixed"/>
        <w:tblCellMar>
          <w:top w:w="0" w:type="dxa"/>
          <w:left w:w="0" w:type="dxa"/>
          <w:bottom w:w="240"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r>
        <w:trPr/>
        <w:tc>
          <w:tcPr>
            <w:tcW w:w="90" w:type="dxa"/>
            <w:tcBorders>
              <w:bottom w:val="single" w:sz="8" w:space="0" w:color="000000"/>
            </w:tcBorders>
            <w:vAlign w:val="center"/>
          </w:tcPr>
          <w:p>
            <w:pPr>
              <w:pStyle w:val="TableContents"/>
              <w:bidi w:val="0"/>
              <w:spacing w:before="0" w:after="283"/>
              <w:jc w:val="left"/>
              <w:rPr/>
            </w:pPr>
            <w:r>
              <w:rPr/>
              <w:t> </w:t>
            </w:r>
          </w:p>
        </w:tc>
      </w:tr>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name, address and zip code and social security or tax ID number of assignee)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_____________________________________ agent to transfer this Note on the books of the Company.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545"/>
        <w:gridCol w:w="60"/>
        <w:gridCol w:w="60"/>
        <w:gridCol w:w="740"/>
        <w:gridCol w:w="75"/>
      </w:tblGrid>
      <w:tr>
        <w:trPr/>
        <w:tc>
          <w:tcPr>
            <w:tcW w:w="545" w:type="dxa"/>
            <w:tcBorders/>
            <w:vAlign w:val="center"/>
          </w:tcPr>
          <w:p>
            <w:pPr>
              <w:pStyle w:val="TableContents"/>
              <w:bidi w:val="0"/>
              <w:spacing w:before="0" w:after="283"/>
              <w:jc w:val="left"/>
              <w:rPr/>
            </w:pPr>
            <w:r>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Signed:</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other side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Signatures must be guaranteed by an “eligible guarantor institution” meeting the requirements of the Security Registrar, which requirements include membership or participation in the Security Transfer Agent Medallion Program (“STAMP”) or such other “signature guarantee program” as may be determined by the Security Registrar in addition to, or in substitution for, STAMP, all in accordance with the Exchange Act, as amended.</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SCHEDULE OF INCREASES OR DECREASES IN GLOBAL SECURITY</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increases or decreases in this Global Security have been made:</w:t>
      </w:r>
    </w:p>
    <w:p>
      <w:pPr>
        <w:pStyle w:val="TextBody"/>
        <w:bidi w:val="0"/>
        <w:spacing w:before="0" w:after="0"/>
        <w:ind w:left="0" w:right="0" w:firstLine="720"/>
        <w:jc w:val="both"/>
        <w:rPr>
          <w:caps w:val="false"/>
          <w:smallCaps w:val="false"/>
        </w:rPr>
      </w:pPr>
      <w:r>
        <w:rPr>
          <w:caps w:val="false"/>
          <w:smallCaps w:val="false"/>
        </w:rPr>
        <w:t> </w:t>
      </w:r>
    </w:p>
    <w:tbl>
      <w:tblPr>
        <w:tblW w:w="7375" w:type="dxa"/>
        <w:jc w:val="left"/>
        <w:tblInd w:w="-10" w:type="dxa"/>
        <w:tblLayout w:type="fixed"/>
        <w:tblCellMar>
          <w:top w:w="58" w:type="dxa"/>
          <w:left w:w="58" w:type="dxa"/>
          <w:bottom w:w="58" w:type="dxa"/>
          <w:right w:w="58" w:type="dxa"/>
        </w:tblCellMar>
      </w:tblPr>
      <w:tblGrid>
        <w:gridCol w:w="425"/>
        <w:gridCol w:w="1745"/>
        <w:gridCol w:w="1745"/>
        <w:gridCol w:w="1610"/>
        <w:gridCol w:w="1850"/>
      </w:tblGrid>
      <w:tr>
        <w:trPr/>
        <w:tc>
          <w:tcPr>
            <w:tcW w:w="4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u w:val="single"/>
              </w:rPr>
            </w:pPr>
            <w:r>
              <w:rPr>
                <w:b/>
                <w:sz w:val="20"/>
                <w:u w:val="single"/>
              </w:rPr>
              <w:t>Date</w:t>
            </w:r>
          </w:p>
        </w:tc>
        <w:tc>
          <w:tcPr>
            <w:tcW w:w="17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 xml:space="preserve">Amount of decrease </w:t>
              <w:br/>
              <w:t xml:space="preserve">in principal amount </w:t>
              <w:br/>
              <w:t xml:space="preserve">of this Global </w:t>
              <w:br/>
            </w:r>
            <w:r>
              <w:rPr>
                <w:b/>
                <w:sz w:val="20"/>
                <w:u w:val="single"/>
              </w:rPr>
              <w:t>Security</w:t>
            </w:r>
          </w:p>
        </w:tc>
        <w:tc>
          <w:tcPr>
            <w:tcW w:w="17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 xml:space="preserve">Amount of increase </w:t>
              <w:br/>
              <w:t xml:space="preserve">in principal amount </w:t>
              <w:br/>
              <w:t xml:space="preserve">of this Global </w:t>
              <w:br/>
            </w:r>
            <w:r>
              <w:rPr>
                <w:b/>
                <w:sz w:val="20"/>
                <w:u w:val="single"/>
              </w:rPr>
              <w:t>Security</w:t>
            </w:r>
          </w:p>
        </w:tc>
        <w:tc>
          <w:tcPr>
            <w:tcW w:w="16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 xml:space="preserve">Principal amount </w:t>
              <w:br/>
              <w:t xml:space="preserve">of this Global </w:t>
              <w:br/>
              <w:t xml:space="preserve">Security following </w:t>
              <w:br/>
              <w:t xml:space="preserve">such decrease or </w:t>
              <w:br/>
            </w:r>
            <w:r>
              <w:rPr>
                <w:b/>
                <w:sz w:val="20"/>
                <w:u w:val="single"/>
              </w:rPr>
              <w:t>increase</w:t>
            </w:r>
          </w:p>
        </w:tc>
        <w:tc>
          <w:tcPr>
            <w:tcW w:w="18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 xml:space="preserve">Signature of </w:t>
              <w:br/>
              <w:t xml:space="preserve">authorized signatory </w:t>
              <w:br/>
              <w:t xml:space="preserve">of Trustee or </w:t>
              <w:br/>
            </w:r>
            <w:r>
              <w:rPr>
                <w:b/>
                <w:sz w:val="20"/>
                <w:u w:val="single"/>
              </w:rPr>
              <w:t>Custodian</w:t>
            </w:r>
          </w:p>
        </w:tc>
      </w:tr>
      <w:tr>
        <w:trPr/>
        <w:tc>
          <w:tcPr>
            <w:tcW w:w="4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4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4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4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4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4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8" w:name="tm2625875d4_ex5-1.htm"/>
      <w:bookmarkStart w:id="29" w:name="kstm2625875d4_ex51"/>
      <w:bookmarkEnd w:id="28"/>
      <w:bookmarkEnd w:id="29"/>
      <w:r>
        <w:rPr/>
        <w:t> </w:t>
      </w:r>
      <w:r>
        <w:br w:type="page"/>
      </w:r>
    </w:p>
    <w:tbl>
      <w:tblPr>
        <w:tblW w:w="5444" w:type="dxa"/>
        <w:jc w:val="left"/>
        <w:tblInd w:w="0" w:type="dxa"/>
        <w:tblLayout w:type="fixed"/>
        <w:tblCellMar>
          <w:top w:w="0" w:type="dxa"/>
          <w:left w:w="0" w:type="dxa"/>
          <w:bottom w:w="0" w:type="dxa"/>
          <w:right w:w="0" w:type="dxa"/>
        </w:tblCellMar>
      </w:tblPr>
      <w:tblGrid>
        <w:gridCol w:w="2645"/>
        <w:gridCol w:w="60"/>
        <w:gridCol w:w="2739"/>
      </w:tblGrid>
      <w:tr>
        <w:trPr/>
        <w:tc>
          <w:tcPr>
            <w:tcW w:w="26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Troutman Pepper Locke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 9th Street, N.W., Suite 1000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20004</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troutman.com</w:t>
            </w:r>
          </w:p>
        </w:tc>
        <w:tc>
          <w:tcPr>
            <w:tcW w:w="60" w:type="dxa"/>
            <w:tcBorders/>
            <w:vAlign w:val="center"/>
          </w:tcPr>
          <w:p>
            <w:pPr>
              <w:pStyle w:val="TableContents"/>
              <w:bidi w:val="0"/>
              <w:spacing w:before="0" w:after="283"/>
              <w:jc w:val="left"/>
              <w:rPr/>
            </w:pPr>
            <w:r>
              <w:rPr/>
              <w:t> </w:t>
            </w:r>
          </w:p>
        </w:tc>
        <w:tc>
          <w:tcPr>
            <w:tcW w:w="2739" w:type="dxa"/>
            <w:tcBorders/>
            <w:vAlign w:val="center"/>
          </w:tcPr>
          <w:p>
            <w:pPr>
              <w:pStyle w:val="TableContents"/>
              <w:bidi w:val="0"/>
              <w:spacing w:before="0" w:after="283"/>
              <w:jc w:val="right"/>
              <w:rPr/>
            </w:pPr>
            <w:r>
              <w:rPr/>
              <w:drawing>
                <wp:inline distT="0" distB="0" distL="0" distR="0">
                  <wp:extent cx="1691640" cy="5562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91640" cy="556260"/>
                          </a:xfrm>
                          <a:prstGeom prst="rect">
                            <a:avLst/>
                          </a:prstGeom>
                        </pic:spPr>
                      </pic:pic>
                    </a:graphicData>
                  </a:graphic>
                </wp:inline>
              </w:drawing>
            </w: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Burke &amp; Herbert Financial Services Corp.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S. Fairfax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Alexandria, Virginia 22314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Burke &amp; Herbert Financial Services Corp., a Virginia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issuance and sale to the Underwriter (as defined below) of $100,000,000 in aggregate principal amount of the Company’s 7.00% Fixed-to-Floating Rate Subordinated Notes due 2036 (the “</w:t>
      </w:r>
      <w:r>
        <w:rPr>
          <w:rFonts w:ascii="Times New Roman;Times;Serif" w:hAnsi="Times New Roman;Times;Serif"/>
          <w:b/>
          <w:i/>
          <w:caps w:val="false"/>
          <w:smallCaps w:val="false"/>
          <w:sz w:val="20"/>
        </w:rPr>
        <w:t>Notes</w:t>
      </w:r>
      <w:r>
        <w:rPr>
          <w:rFonts w:ascii="Times New Roman;Times;Serif" w:hAnsi="Times New Roman;Times;Serif"/>
          <w:b w:val="false"/>
          <w:i w:val="false"/>
          <w:caps w:val="false"/>
          <w:smallCaps w:val="false"/>
          <w:sz w:val="20"/>
        </w:rPr>
        <w:t>”) pursuant to the terms of an Underwriting Agreement, dated September 28, 2026 (the “</w:t>
      </w:r>
      <w:r>
        <w:rPr>
          <w:rFonts w:ascii="Times New Roman;Times;Serif" w:hAnsi="Times New Roman;Times;Serif"/>
          <w:b/>
          <w:i/>
          <w:caps w:val="false"/>
          <w:smallCaps w:val="false"/>
          <w:sz w:val="20"/>
        </w:rPr>
        <w:t>Underwriting Agreement</w:t>
      </w:r>
      <w:r>
        <w:rPr>
          <w:rFonts w:ascii="Times New Roman;Times;Serif" w:hAnsi="Times New Roman;Times;Serif"/>
          <w:b w:val="false"/>
          <w:i w:val="false"/>
          <w:caps w:val="false"/>
          <w:smallCaps w:val="false"/>
          <w:sz w:val="20"/>
        </w:rPr>
        <w:t>”), by and between the Company and Keefe, Bruyette &amp; Woods, Inc. (the “</w:t>
      </w:r>
      <w:r>
        <w:rPr>
          <w:rFonts w:ascii="Times New Roman;Times;Serif" w:hAnsi="Times New Roman;Times;Serif"/>
          <w:b/>
          <w:i/>
          <w:caps w:val="false"/>
          <w:smallCaps w:val="false"/>
          <w:sz w:val="20"/>
        </w:rPr>
        <w:t>Underwriter</w:t>
      </w:r>
      <w:r>
        <w:rPr>
          <w:rFonts w:ascii="Times New Roman;Times;Serif" w:hAnsi="Times New Roman;Times;Serif"/>
          <w:b w:val="false"/>
          <w:i w:val="false"/>
          <w:caps w:val="false"/>
          <w:smallCaps w:val="false"/>
          <w:sz w:val="20"/>
        </w:rPr>
        <w:t>”), as the sole underwriter. The Notes will be issued pursuant to the Indenture dated as of September 30, 2026 (the “</w:t>
      </w:r>
      <w:r>
        <w:rPr>
          <w:rFonts w:ascii="Times New Roman;Times;Serif" w:hAnsi="Times New Roman;Times;Serif"/>
          <w:b/>
          <w:i/>
          <w:caps w:val="false"/>
          <w:smallCaps w:val="false"/>
          <w:sz w:val="20"/>
        </w:rPr>
        <w:t>Base Indenture</w:t>
      </w:r>
      <w:r>
        <w:rPr>
          <w:rFonts w:ascii="Times New Roman;Times;Serif" w:hAnsi="Times New Roman;Times;Serif"/>
          <w:b w:val="false"/>
          <w:i w:val="false"/>
          <w:caps w:val="false"/>
          <w:smallCaps w:val="false"/>
          <w:sz w:val="20"/>
        </w:rPr>
        <w:t>”), between the Company and Wilmington Trust, National Association, a national banking association duly organized and existing under the laws of the United States, as trustee (the “</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as supplemented by the First Supplemental Indenture dated as of September 30, 2026, between the Company and the Trustee (the “</w:t>
      </w:r>
      <w:r>
        <w:rPr>
          <w:rFonts w:ascii="Times New Roman;Times;Serif" w:hAnsi="Times New Roman;Times;Serif"/>
          <w:b/>
          <w:i/>
          <w:caps w:val="false"/>
          <w:smallCaps w:val="false"/>
          <w:sz w:val="20"/>
        </w:rPr>
        <w:t>First 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furnished in accordance with the requirements of Item 601(b)(5)(i) of Regulation S-K promulgated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representation of the Company, and as a basis for the opinions hereinafter set forth, we have examined originals, or copies certified or otherwise identified to our satisfaction, of the following documents (hereinafter collectively referred to as the “</w:t>
      </w:r>
      <w:r>
        <w:rPr>
          <w:rFonts w:ascii="Times New Roman;Times;Serif" w:hAnsi="Times New Roman;Times;Serif"/>
          <w:b/>
          <w:i/>
          <w:caps w:val="false"/>
          <w:smallCaps w:val="false"/>
          <w:sz w:val="20"/>
        </w:rPr>
        <w:t>Documents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Registration Statement on Form S-3 (Registration No. 333-283261)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including the (i) Prospectus dated December 11, 2024 therein, (ii) the Preliminary Prospectus Supplement, dated September 28, 2026, related to the offer and sale of the Notes (the “</w:t>
      </w:r>
      <w:r>
        <w:rPr>
          <w:rFonts w:ascii="Times New Roman;Times;Serif" w:hAnsi="Times New Roman;Times;Serif"/>
          <w:b/>
          <w:i/>
          <w:caps w:val="false"/>
          <w:smallCaps w:val="false"/>
          <w:sz w:val="20"/>
        </w:rPr>
        <w:t>Preliminary Prospectus Supplement</w:t>
      </w:r>
      <w:r>
        <w:rPr>
          <w:rFonts w:ascii="Times New Roman;Times;Serif" w:hAnsi="Times New Roman;Times;Serif"/>
          <w:b w:val="false"/>
          <w:i w:val="false"/>
          <w:caps w:val="false"/>
          <w:smallCaps w:val="false"/>
          <w:sz w:val="20"/>
        </w:rPr>
        <w:t>”) and (iii) the Final Prospectus Supplement, dated September 28, 2026, related to the offer and sale of the Notes (the “</w:t>
      </w:r>
      <w:r>
        <w:rPr>
          <w:rFonts w:ascii="Times New Roman;Times;Serif" w:hAnsi="Times New Roman;Times;Serif"/>
          <w:b/>
          <w:i/>
          <w:caps w:val="false"/>
          <w:smallCaps w:val="false"/>
          <w:sz w:val="20"/>
        </w:rPr>
        <w:t>Final Prospectus Supplement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6005" w:type="dxa"/>
        <w:jc w:val="left"/>
        <w:tblInd w:w="0" w:type="dxa"/>
        <w:tblLayout w:type="fixed"/>
        <w:tblCellMar>
          <w:top w:w="0" w:type="dxa"/>
          <w:left w:w="0" w:type="dxa"/>
          <w:bottom w:w="0" w:type="dxa"/>
          <w:right w:w="0" w:type="dxa"/>
        </w:tblCellMar>
      </w:tblPr>
      <w:tblGrid>
        <w:gridCol w:w="3620"/>
        <w:gridCol w:w="60"/>
        <w:gridCol w:w="2325"/>
      </w:tblGrid>
      <w:tr>
        <w:trPr/>
        <w:tc>
          <w:tcPr>
            <w:tcW w:w="362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Burke &amp; Herbert Financial Services Corp.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tc>
        <w:tc>
          <w:tcPr>
            <w:tcW w:w="60" w:type="dxa"/>
            <w:tcBorders/>
            <w:vAlign w:val="center"/>
          </w:tcPr>
          <w:p>
            <w:pPr>
              <w:pStyle w:val="TableContents"/>
              <w:bidi w:val="0"/>
              <w:spacing w:before="0" w:after="283"/>
              <w:jc w:val="left"/>
              <w:rPr/>
            </w:pPr>
            <w:r>
              <w:rPr/>
              <w:t> </w:t>
            </w:r>
          </w:p>
        </w:tc>
        <w:tc>
          <w:tcPr>
            <w:tcW w:w="2325" w:type="dxa"/>
            <w:tcBorders/>
            <w:vAlign w:val="center"/>
          </w:tcPr>
          <w:p>
            <w:pPr>
              <w:pStyle w:val="TableContents"/>
              <w:bidi w:val="0"/>
              <w:spacing w:before="0" w:after="283"/>
              <w:jc w:val="right"/>
              <w:rPr/>
            </w:pPr>
            <w:r>
              <w:rPr/>
              <w:drawing>
                <wp:inline distT="0" distB="0" distL="0" distR="0">
                  <wp:extent cx="1428750" cy="46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28750" cy="466725"/>
                          </a:xfrm>
                          <a:prstGeom prst="rect">
                            <a:avLst/>
                          </a:prstGeom>
                        </pic:spPr>
                      </pic:pic>
                    </a:graphicData>
                  </a:graphic>
                </wp:inline>
              </w:drawing>
            </w: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Articles of Incorporation of the Company, as amended and supplemented through the date hereof (the “</w:t>
      </w:r>
      <w:r>
        <w:rPr>
          <w:rFonts w:ascii="Times New Roman;Times;Serif" w:hAnsi="Times New Roman;Times;Serif"/>
          <w:b/>
          <w:i/>
          <w:caps w:val="false"/>
          <w:smallCaps w:val="false"/>
          <w:sz w:val="20"/>
        </w:rPr>
        <w:t>Articles of Incorporation</w:t>
      </w:r>
      <w:r>
        <w:rPr>
          <w:rFonts w:ascii="Times New Roman;Times;Serif" w:hAnsi="Times New Roman;Times;Serif"/>
          <w:b w:val="false"/>
          <w:i w:val="false"/>
          <w:caps w:val="false"/>
          <w:smallCaps w:val="false"/>
          <w:sz w:val="20"/>
        </w:rPr>
        <w:t>”), certified as of a recent date by the State Corporation Commission of the Commonwealth of Virginia (the “</w:t>
      </w:r>
      <w:r>
        <w:rPr>
          <w:rFonts w:ascii="Times New Roman;Times;Serif" w:hAnsi="Times New Roman;Times;Serif"/>
          <w:b/>
          <w:i/>
          <w:caps w:val="false"/>
          <w:smallCaps w:val="false"/>
          <w:sz w:val="20"/>
        </w:rPr>
        <w:t>SCC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Amended and Restated Bylaws of the Company, as amended through the date hereof, certified as of a recent date by an officer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certificate of the SCC as to the good standing of the Company, dated as of a recent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Resolutions adopted by the Board of Directors of the Company and the Pricing Committee of the Board of Directors of the Company, relating to the offer and sale of the Notes (the “</w:t>
      </w:r>
      <w:r>
        <w:rPr>
          <w:rFonts w:ascii="Times New Roman;Times;Serif" w:hAnsi="Times New Roman;Times;Serif"/>
          <w:b/>
          <w:i/>
          <w:caps w:val="false"/>
          <w:smallCaps w:val="false"/>
          <w:sz w:val="20"/>
        </w:rPr>
        <w:t>Resolutions</w:t>
      </w:r>
      <w:r>
        <w:rPr>
          <w:rFonts w:ascii="Times New Roman;Times;Serif" w:hAnsi="Times New Roman;Times;Serif"/>
          <w:b w:val="false"/>
          <w:i w:val="false"/>
          <w:caps w:val="false"/>
          <w:smallCaps w:val="false"/>
          <w:sz w:val="20"/>
        </w:rPr>
        <w:t>”), certified by an officer of the Company as being complete, accurate and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Underwriting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form of global note certificate evidencing the Notes;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Such other documents, records, instruments, and matters as we have deemed necessary or appropriate to express the opinion set forth below, subject to the assumptions, limitations and qualifications stated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expressing the opinions set forth below, we have assumed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Each individual executing or delivering any of the Documents, whether on behalf of such individual or another person, is legally competent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Each individual executing or delivering any of the Documents on behalf of a party (other than the Company) is duly authorized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statements and information contained in the Documents are true and complete. There has been no oral or written modification of or amendment to any of the Documents, and there has been no waiver of any provision of any of the Documents, by action or conduct of the parties or otherwise;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990" w:type="dxa"/>
        <w:jc w:val="left"/>
        <w:tblInd w:w="0" w:type="dxa"/>
        <w:tblLayout w:type="fixed"/>
        <w:tblCellMar>
          <w:top w:w="0" w:type="dxa"/>
          <w:left w:w="0" w:type="dxa"/>
          <w:bottom w:w="0" w:type="dxa"/>
          <w:right w:w="0" w:type="dxa"/>
        </w:tblCellMar>
      </w:tblPr>
      <w:tblGrid>
        <w:gridCol w:w="3620"/>
        <w:gridCol w:w="60"/>
        <w:gridCol w:w="2310"/>
      </w:tblGrid>
      <w:tr>
        <w:trPr/>
        <w:tc>
          <w:tcPr>
            <w:tcW w:w="362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Burke &amp; Herbert Financial Services Corp.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tc>
        <w:tc>
          <w:tcPr>
            <w:tcW w:w="60" w:type="dxa"/>
            <w:tcBorders/>
            <w:vAlign w:val="center"/>
          </w:tcPr>
          <w:p>
            <w:pPr>
              <w:pStyle w:val="TableContents"/>
              <w:bidi w:val="0"/>
              <w:spacing w:before="0" w:after="283"/>
              <w:jc w:val="left"/>
              <w:rPr/>
            </w:pPr>
            <w:r>
              <w:rPr/>
              <w:t> </w:t>
            </w:r>
          </w:p>
        </w:tc>
        <w:tc>
          <w:tcPr>
            <w:tcW w:w="2310" w:type="dxa"/>
            <w:tcBorders/>
            <w:vAlign w:val="center"/>
          </w:tcPr>
          <w:p>
            <w:pPr>
              <w:pStyle w:val="TableContents"/>
              <w:bidi w:val="0"/>
              <w:spacing w:before="0" w:after="283"/>
              <w:jc w:val="right"/>
              <w:rPr/>
            </w:pPr>
            <w:r>
              <w:rPr/>
              <w:drawing>
                <wp:inline distT="0" distB="0" distL="0" distR="0">
                  <wp:extent cx="1419225" cy="46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19225" cy="466725"/>
                          </a:xfrm>
                          <a:prstGeom prst="rect">
                            <a:avLst/>
                          </a:prstGeom>
                        </pic:spPr>
                      </pic:pic>
                    </a:graphicData>
                  </a:graphic>
                </wp:inline>
              </w:drawing>
            </w: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in reliance thereon, and subject to the limitations, qualifications, assumptions, exceptions and other matters set forth herein, we are of the opinion that when the Notes have been duly authenticated by the Trustee and duly executed and delivered on behalf of the Company as contemplated by the Indenture and upon receipt by the Company of the consideration to be paid therefor pursuant to the Underwriting Agreement, the Notes will be legally issued and will constitute valid and binding obligations of the Company enforceable against the Company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set forth above is subject to applicable bankruptcy, insolvency, reorganization, fraudulent conveyance and transfer, moratorium or other laws now or hereafter in effect relating to or affecting the rights or remedies of creditors generally and by general principles of equity (whether applied in a proceeding at law or in equity) including, without limitation, standards of materiality, good faith and reasonableness in the interpretation and enforcement of contracts, and the application of such principles to limit the availability of equitable remedies such as specific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 is limited to the substantive laws of the Commonwealth of Virginia and the State of New York, and we do not express any opinion herein concerning any other law. We express no opinion as to compliance with any federal or state securities laws, including the securities laws of the Commonwealth of Virginia and the State of New York, or as to federal or state laws regarding fraudulent transfers. We assume no obligation to supplement this opinion letter if any applicable law changes after the date hereof or if we become aware of any fact that might change the opinion expressed herein after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opinion is rendered as to matters not specifically referred to herein and under no circumstances are you to infer from anything stated or not stated herein any opinion with respect to which such reference is not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furnished to you for your submission to the Commission as an exhibit to a current report on Form 8-K (the “</w:t>
      </w:r>
      <w:r>
        <w:rPr>
          <w:rFonts w:ascii="Times New Roman;Times;Serif" w:hAnsi="Times New Roman;Times;Serif"/>
          <w:b/>
          <w:i/>
          <w:caps w:val="false"/>
          <w:smallCaps w:val="false"/>
          <w:sz w:val="20"/>
        </w:rPr>
        <w:t>8-K</w:t>
      </w:r>
      <w:r>
        <w:rPr>
          <w:rFonts w:ascii="Times New Roman;Times;Serif" w:hAnsi="Times New Roman;Times;Serif"/>
          <w:b w:val="false"/>
          <w:i w:val="false"/>
          <w:caps w:val="false"/>
          <w:smallCaps w:val="false"/>
          <w:sz w:val="20"/>
        </w:rPr>
        <w:t>”), to be filed by the Company with the Commission on or about the date hereof, and its incorporation by reference into the Registration Statement. We hereby consent to the filing of this opinion as an exhibit to the 8-K and to the use of the name of our firm therein and under the section “</w:t>
      </w:r>
      <w:r>
        <w:rPr>
          <w:rFonts w:ascii="Times New Roman;Times;Serif" w:hAnsi="Times New Roman;Times;Serif"/>
          <w:b/>
          <w:i/>
          <w:caps w:val="false"/>
          <w:smallCaps w:val="false"/>
          <w:sz w:val="20"/>
        </w:rPr>
        <w:t>Legal Matters</w:t>
      </w:r>
      <w:r>
        <w:rPr>
          <w:rFonts w:ascii="Times New Roman;Times;Serif" w:hAnsi="Times New Roman;Times;Serif"/>
          <w:b w:val="false"/>
          <w:i w:val="false"/>
          <w:caps w:val="false"/>
          <w:smallCaps w:val="false"/>
          <w:sz w:val="20"/>
        </w:rPr>
        <w:t>” in the Preliminary Prospectus Supplement and Final Prospectus Supplement. In giving this consent, we do not admit that we are within the category of persons whose consent is required by Section 7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olumn">
                  <wp:align>right</wp:align>
                </wp:positionH>
                <wp:positionV relativeFrom="line">
                  <wp:posOffset>635</wp:posOffset>
                </wp:positionV>
                <wp:extent cx="1908175" cy="1296670"/>
                <wp:effectExtent l="0" t="0" r="0" b="0"/>
                <wp:wrapSquare wrapText="left"/>
                <wp:docPr id="4" name="Frame1"/>
                <a:graphic xmlns:a="http://schemas.openxmlformats.org/drawingml/2006/main">
                  <a:graphicData uri="http://schemas.microsoft.com/office/word/2010/wordprocessingShape">
                    <wps:wsp>
                      <wps:cNvSpPr txBox="1"/>
                      <wps:spPr>
                        <a:xfrm>
                          <a:off x="0" y="0"/>
                          <a:ext cx="1908175" cy="1296670"/>
                        </a:xfrm>
                        <a:prstGeom prst="rect"/>
                        <a:solidFill>
                          <a:srgbClr val="FFFFFF"/>
                        </a:solidFill>
                      </wps:spPr>
                      <wps:txbx>
                        <w:txbxContent>
                          <w:tbl>
                            <w:tblPr>
                              <w:tblW w:w="3005" w:type="dxa"/>
                              <w:jc w:val="left"/>
                              <w:tblInd w:w="0" w:type="dxa"/>
                              <w:tblLayout w:type="fixed"/>
                              <w:tblCellMar>
                                <w:top w:w="0" w:type="dxa"/>
                                <w:left w:w="0" w:type="dxa"/>
                                <w:bottom w:w="0" w:type="dxa"/>
                                <w:right w:w="0" w:type="dxa"/>
                              </w:tblCellMar>
                            </w:tblPr>
                            <w:tblGrid>
                              <w:gridCol w:w="3005"/>
                            </w:tblGrid>
                            <w:tr>
                              <w:trPr/>
                              <w:tc>
                                <w:tcPr>
                                  <w:tcW w:w="3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Very truly yours,</w:t>
                                  </w:r>
                                </w:p>
                              </w:tc>
                            </w:tr>
                            <w:tr>
                              <w:trPr/>
                              <w:tc>
                                <w:tcPr>
                                  <w:tcW w:w="3005"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Troutman Pepper Locke LLP</w:t>
                                  </w:r>
                                </w:p>
                                <w:p>
                                  <w:pPr>
                                    <w:pStyle w:val="TableContents"/>
                                    <w:bidi w:val="0"/>
                                    <w:spacing w:before="0" w:after="0"/>
                                    <w:ind w:left="0" w:right="0" w:hanging="0"/>
                                    <w:jc w:val="both"/>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TROUTMAN PEPPER LOCKE LLP </w:t>
                                  </w:r>
                                </w:p>
                              </w:tc>
                            </w:tr>
                          </w:tbl>
                        </w:txbxContent>
                      </wps:txbx>
                      <wps:bodyPr anchor="t" lIns="0" tIns="0" rIns="0" bIns="0">
                        <a:noAutofit/>
                      </wps:bodyPr>
                    </wps:wsp>
                  </a:graphicData>
                </a:graphic>
              </wp:anchor>
            </w:drawing>
          </mc:Choice>
          <mc:Fallback>
            <w:pict>
              <v:rect style="position:absolute;rotation:-0;width:150.25pt;height:102.1pt;mso-wrap-distance-left:0pt;mso-wrap-distance-right:0pt;mso-wrap-distance-top:0pt;mso-wrap-distance-bottom:0pt;margin-top:0pt;mso-position-vertical:top;mso-position-vertical-relative:text;margin-left:360pt;mso-position-horizontal:right;mso-position-horizontal-relative:text">
                <v:textbox>
                  <w:txbxContent>
                    <w:tbl>
                      <w:tblPr>
                        <w:tblW w:w="3005" w:type="dxa"/>
                        <w:jc w:val="left"/>
                        <w:tblInd w:w="0" w:type="dxa"/>
                        <w:tblLayout w:type="fixed"/>
                        <w:tblCellMar>
                          <w:top w:w="0" w:type="dxa"/>
                          <w:left w:w="0" w:type="dxa"/>
                          <w:bottom w:w="0" w:type="dxa"/>
                          <w:right w:w="0" w:type="dxa"/>
                        </w:tblCellMar>
                      </w:tblPr>
                      <w:tblGrid>
                        <w:gridCol w:w="3005"/>
                      </w:tblGrid>
                      <w:tr>
                        <w:trPr/>
                        <w:tc>
                          <w:tcPr>
                            <w:tcW w:w="3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Very truly yours,</w:t>
                            </w:r>
                          </w:p>
                        </w:tc>
                      </w:tr>
                      <w:tr>
                        <w:trPr/>
                        <w:tc>
                          <w:tcPr>
                            <w:tcW w:w="3005"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Troutman Pepper Locke LLP</w:t>
                            </w:r>
                          </w:p>
                          <w:p>
                            <w:pPr>
                              <w:pStyle w:val="TableContents"/>
                              <w:bidi w:val="0"/>
                              <w:spacing w:before="0" w:after="0"/>
                              <w:ind w:left="0" w:right="0" w:hanging="0"/>
                              <w:jc w:val="both"/>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TROUTMAN PEPPER LOCKE LLP </w:t>
                            </w:r>
                          </w:p>
                        </w:tc>
                      </w:tr>
                    </w:tbl>
                  </w:txbxContent>
                </v:textbox>
                <w10:wrap type="square" side="lef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30" w:name="tm2625875d4_ex99-1.htm"/>
      <w:bookmarkStart w:id="31" w:name="kstm2625875d4_ex991"/>
      <w:bookmarkEnd w:id="30"/>
      <w:bookmarkEnd w:id="31"/>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3305175" cy="609600"/>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3305175" cy="60960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Burke &amp; Herbert Financial Services Corp. Prices $100.0 Million Subordinated Notes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Immediate Release</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ALEXANDRIA, Va., Sept. 28, 2026 (GLOBE NEWSWIRE) -- Burke &amp; Herbert Financial Services Corp. (the “Company”) (Nasdaq: BHRB), the holding company for Burke &amp; Herbert Bank &amp; Trust Company (the “Bank”), today announced the pricing of its public offering of $100.0 million aggregate principal amount of its 7.00% Fixed-to-Floating Rate Subordinated Notes due 2036 (the “Notes”). The price to the public for the Notes is 100% of the principal amount of the Notes. The Notes will mature on October 1, 2036. Interest on the Notes initially will accrue at a rate equal to 7.00% per annum from and including September 30, 2026 to, but excluding, October 1, 2031, payable semiannually in arrears. From and including October 1, 2031 to, but excluding, October 1, 2036, or the earlier redemption date, interest will accrue at a floating rate per annum equal to the Three-Month Term SOFR, or other applicable Benchmark rate (as defined in the Notes), plus a spread of 222 basis points, payable quarterly in arrears. The Notes are intended to qualify as Tier 2 capital for regulatory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is expected to close on September 30, 2026, subject to the satisfaction of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with the interest payment date of October 1, 2031 and on any interest payment date thereafter, the Company may, at its option, redeem the Notes, in whole or in part, at a redemption price equal to 100.00% of par, plus accrued and unpaid interest to but excluding the date of redemption. The Company may also redeem the Notes, in whole but not in part, at any time, including prior to October 1, 2031, upon the occurrence of certain specified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Keefe, Bruyette &amp; Woods, A Stifel Company, acted as the sole book-running manager for the Notes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this offering, plus cash on hand: (i) to repay $4.5 million aggregate principal amount of its outstanding 6.875% Subordinated Note, which matures on April 1, 2028 (the “2028 Note”); $18.1 million aggregate principal amount of its outstanding 6.00% Fixed-to-Floating Rate Subordinated Notes, which currently bear interest at the Three-Month Term SOFR plus 590 basis points and mature on July 1, 2030 (the “July 2030 Notes”); and $20.0 million aggregate principal amount of its outstanding 5.00% Fixed-to-Floating Rate Subordinated Notes, which currently bear interest at the Three-Month Term SOFR plus 475 basis points and mature on October 1, 2030 plus, in each case, accrued and unpaid interest; (ii) to potentially repay all or part of its outstanding $75.0 million aggregate principal amount of 3.25% Fixed-to-Floating Rate Subordinated Notes, which currently bear interest at the fixed rate of 3.25% per year and mature on December 1, 2031, plus accrued and unpaid interest; (iii) to potentially redeem all or part of its outstanding $15.0 million aggregate liquidation preference of 2021 Preferred Stock, which has dividends payable in arrears, when, as and if authorized and declared by the board of directors of the Company out of legally available funds, on a non-cumulative basis at the $10,000 per share purchase price, at an annual rate equal to 6.00%; and (iv) for general corporate purposes, including providing capital to the Bank to support its growth. A conditional notice of redemption was delivered to the holders of the Company’s July 2030 Notes with respect to the redemption of all of the outstanding principal amount of such notes. The redemption of the Company’s July 2030 Notes is contingent on this offering of the Notes and the amount of proceeds resulting from this offering. A notice of prepayment was delivered to the holder of the 2028 Note but is not contingent on this offering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the Notes is being made by means of a prospectus supplement and an accompanying base prospectus. The Company previously filed with the U.S. Securities and Exchange Commission (the “SEC”) a registration statement (File No. 333-283261) and has filed a preliminary prospectus supplement to the base prospectus contained in the registration statement for the Notes to which this communication relates. The Company will file a final prospectus supplement relating to the Notes. Prospective investors should read the base prospectus contained in the registration statement, the preliminary prospectus supplement, the final prospectus supplement and the other documents the Company has filed or will file with the SEC for more complete information about the Company and the Notes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these documents, when available, can be obtained for free by visiting EDGAR on the SEC’s website at www.sec.gov, or by contacting Keefe, Bruyette &amp; Woods, Inc., toll-free at (800) 966-1559 or by emailing USCapitalMarkets@kbw.com.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the solicitation of an offer to buy the Notes, nor shall there be any sale of the Notes in any state or jurisdiction in which such offer, solicitation or sale would be unlawful prior to registration or qualification under the securities laws of any such state or jurisdiction. Any offering of the Notes is being made only by means of a written prospectus meeting the requirements of Section 10 of the Securities Act of 1933, as amended. The Notes being offered have not been approved or disapproved by any regulatory authority, nor has any such authority passed upon the accuracy or adequacy of the registration statement, the base prospectus contained in the registration statement, the preliminary prospectus supplement or the final prospectus supplement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Burke &amp; Herbert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Burke &amp; Herbert Financial Services Corp. is the financial holding company for Burke &amp; Herbert Bank &amp; Trust Company. Burke &amp; Herbert Bank &amp; Trust Company is the oldest continuously operating bank under its original name headquartered in the greater Washington, D.C. metropolitan area. With over 100 branches across Delaware, Kentucky, Maryland, Pennsylvania, Virginia, and West Virginia, Burke &amp; Herbert Bank &amp; Trust Company offers a full range of business and personal financial solutions designed to meet customers’ banking, borrowing, and investment needs. Learn more at investor.burkeandherbertbank.com.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within the meaning of the Private Securities Litigation Reform Act of 1995, Section 27A of the Securities Act of 1933, as amended, and Section 21E of the Securities Exchange Act of 1934, as amended, including with respect to (or based on) the beliefs, goals, intentions, and expectations of Burke &amp; Herbert. Forward–looking statements are typically identified by such words as “believe,” “expect,” “anticipate,” “intend,” “outlook,” “estimate,” “forecast,” “project,” “will,” “should,” and other similar words and expressions, and are subject to numerous assumptions, risks, and uncertainties, which change over time. Additionally, forward-looking statements speak only as of the date they are made; Burke &amp; Herbert does not assume any duty, and does not undertake, to update such forward-looking statements, whether written or oral, that may be made from time to time, whether as a result of new information, future events, or otherwise. Furthermore, because forward-looking statements are subject to assumptions and uncertainties, actual results or future events could differ, possibly materially, from those indicated in or implied by such forward-looking statements as a result of a variety of factors, many of which are beyond the control of Burke &amp; Herbert. Such statements are based upon the current beliefs and expectations of the management of Burke &amp; Herbert and are subject to significant risks and uncertainties outside of its control. Caution should be exercised against placing undue reliance on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risks and uncertainties include, but are not limited to, the Company’s ability to complete the offering and to deploy the net proceeds of the offering as the Company currently expects. The Company cautions readers that the foregoing list of factors is not exclusive, is not necessarily in order of importance and readers should not place undue reliance on any forward-looking statements. Further, any forward-looking statement speaks only as of the date on which it is made, and the Company does not intend to and, except as required by applicable law, disclaims any obligation to update or revise any forward-looking statement to reflect events or circumstances after the date on which the statement is made or to reflect the occurrence of unanticipated events, unless required to do so under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Contact: Investor Relations 703-666-3555 bhfsir@burkeandherbertbank.com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122</Pages>
  <Words>78111</Words>
  <Characters>405370</Characters>
  <CharactersWithSpaces>485572</CharactersWithSpaces>
  <Paragraphs>3490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