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8-K/A</w:t>
      </w:r>
    </w:p>
    <w:p>
      <w:pPr>
        <w:pStyle w:val="TextBody"/>
        <w:bidi w:val="0"/>
        <w:spacing w:lineRule="auto" w:line="300" w:before="0" w:after="2"/>
        <w:jc w:val="center"/>
        <w:rPr>
          <w:rFonts w:ascii="Times New Roman;serif" w:hAnsi="Times New Roman;serif"/>
          <w:b/>
          <w:color w:val="000000"/>
          <w:sz w:val="24"/>
        </w:rPr>
      </w:pPr>
      <w:r>
        <w:rPr>
          <w:rFonts w:ascii="Times New Roman;serif" w:hAnsi="Times New Roman;serif"/>
          <w:b/>
          <w:color w:val="000000"/>
          <w:sz w:val="24"/>
        </w:rPr>
        <w:t>(Amendment No. 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May 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Burke &amp; Herbert Financial Services Corp.</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Virginia</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001-41633</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92-0289417</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100 S. Fairfax Street</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Alexandria, VA 22314</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(703) 666-3555</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108" w:after="283"/>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Pre-commencement communications pursuant to Rule 13e-4(c) under the Exchange Act (17 CFR 240.13e-4(c))</w:t>
            </w:r>
          </w:p>
        </w:tc>
      </w:tr>
    </w:tbl>
    <w:tbl>
      <w:tblPr>
        <w:tblW w:w="8162" w:type="dxa"/>
        <w:jc w:val="left"/>
        <w:tblInd w:w="0" w:type="dxa"/>
        <w:tblLayout w:type="fixed"/>
        <w:tblCellMar>
          <w:top w:w="28" w:type="dxa"/>
          <w:left w:w="28" w:type="dxa"/>
          <w:bottom w:w="28" w:type="dxa"/>
          <w:right w:w="28" w:type="dxa"/>
        </w:tblCellMar>
      </w:tblPr>
      <w:tblGrid>
        <w:gridCol w:w="1011"/>
        <w:gridCol w:w="889"/>
        <w:gridCol w:w="889"/>
        <w:gridCol w:w="516"/>
        <w:gridCol w:w="516"/>
        <w:gridCol w:w="516"/>
        <w:gridCol w:w="1120"/>
        <w:gridCol w:w="1120"/>
        <w:gridCol w:w="1585"/>
      </w:tblGrid>
      <w:tr>
        <w:trPr/>
        <w:tc>
          <w:tcPr>
            <w:tcW w:w="10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816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78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Common stock, par value $0.50</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BHRB</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Emerging growth company ☐</w: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Effective on May 1, 2026 (the “Closing Date”), Burke &amp; Herbert Financial Services Corp., a Virginia corporation (“Burke &amp; Herbert”), completed its previously announced merger with LINKBANCORP, Inc., a Pennsylvania corporation (“LNKB”), pursuant to the Agreement and Plan of Merger dated December 18, 2025 between Burke &amp; Herbert and LNKB (the “Merger Agreement”).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Pursuant to the Merger Agreement, on the Closing Date, (i) LNKB merged with and into Burke &amp; Herbert, with Burke &amp; Herbert continuing as the surviving corporation (the “Merger”), and (ii) immediately following the Merger, LINKBANK, a Pennsylvania chartered commercial bank and a wholly-owned subsidiary of LNKB (“Link”), merged with and into Burke &amp; Herbert Bank &amp; Trust Company, a Virginia chartered bank and a wholly-owned subsidiary of Burke &amp; Herbert (“Burke &amp; Herbert Bank”) with Burke &amp; Herbert Bank as the surviving bank.</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May 1, 2026, the Company filed a Current Report on Form 8-K, reporting the completion of the Merger (the “Original Report”). This Amendment No. 1 is being filed with the Securities and Exchange Commission (the “Commission”) solely to amend and supplement Item 9.01 of the Original Report, as described in Item 9.01 below. This Amendment No. 1 should be read in conjunction with the Original Report. This Amendment No. 1 makes no other amendments to the Original Report.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pro forma financial information included in this Amendment No. 1 has been presented for informational purposes only and does not purport to represent the actual results that Burke &amp; Herbert and LNKB would have achieved had the companies been combined during the periods presented, and is not intended to project any future results of operations for the combined company.</w:t>
      </w:r>
    </w:p>
    <w:p>
      <w:pPr>
        <w:pStyle w:val="TextBody"/>
        <w:bidi w:val="0"/>
        <w:spacing w:lineRule="auto" w:line="288" w:before="0" w:after="120"/>
        <w:jc w:val="both"/>
        <w:rPr>
          <w:rFonts w:ascii="Times New Roman;serif" w:hAnsi="Times New Roman;serif"/>
          <w:b/>
          <w:color w:val="000000"/>
          <w:sz w:val="22"/>
        </w:rPr>
      </w:pPr>
      <w:r>
        <w:rPr>
          <w:rFonts w:ascii="Times New Roman;serif" w:hAnsi="Times New Roman;serif"/>
          <w:b/>
          <w:color w:val="000000"/>
          <w:sz w:val="22"/>
        </w:rPr>
        <w:t>Item 9.01 - Financial Statements and Exhibits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Financial Statements of businesses acquired.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audited consolidated balance sheets of LNKB including LNKB's Annual Report on Form 10-K filed with the Commission on March 12, 2026, on Form 10-K (File No. 001-41505) as of December 31, 2025 and 2024, and the audited consolidated statements of operations, cash flows, and accompanying notes to the financial statements for the twelve months ended December 31, 2025, and 2024 are filed herewith as Exhibit 99.1 and are incorporated by reference into this item 9.01(a).</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Pro Forma financial information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consolidated combined financial information as of and for the year ended December 31, 2025, is filed herewith as Exhibit 99.2 and is incorporated by reference into this item 9.01(b).</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    Shell company transactions. None.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295"/>
        <w:gridCol w:w="259"/>
        <w:gridCol w:w="261"/>
        <w:gridCol w:w="109"/>
        <w:gridCol w:w="109"/>
        <w:gridCol w:w="109"/>
        <w:gridCol w:w="2652"/>
        <w:gridCol w:w="2652"/>
        <w:gridCol w:w="3759"/>
      </w:tblGrid>
      <w:tr>
        <w:trPr/>
        <w:tc>
          <w:tcPr>
            <w:tcW w:w="29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3759"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8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exhibit231snodgrass.htm">
              <w:r>
                <w:rPr>
                  <w:rStyle w:val="InternetLink"/>
                  <w:rFonts w:ascii="Times New Roman;serif" w:hAnsi="Times New Roman;serif"/>
                  <w:b w:val="false"/>
                  <w:color w:val="000000"/>
                  <w:sz w:val="20"/>
                  <w:u w:val="single"/>
                </w:rPr>
                <w:t>Consent of S.R. Snodgrass, P.C., the former independent registered public accounting firm to LINKBANCORP, Inc.</w:t>
              </w:r>
            </w:hyperlink>
          </w:p>
        </w:tc>
      </w:tr>
      <w:tr>
        <w:trPr/>
        <w:tc>
          <w:tcPr>
            <w:tcW w:w="8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r:id="rId2">
              <w:r>
                <w:rPr>
                  <w:rStyle w:val="InternetLink"/>
                  <w:rFonts w:ascii="Times New Roman;serif" w:hAnsi="Times New Roman;serif"/>
                  <w:b w:val="false"/>
                  <w:color w:val="000080"/>
                  <w:sz w:val="20"/>
                  <w:u w:val="single"/>
                </w:rPr>
                <w:t>Audited consolidated balance sheets of LNKB as of December 31, 2025, and 2024, and the audited consolidated statements of operations</w:t>
              </w:r>
            </w:hyperlink>
            <w:hyperlink r:id="rId3">
              <w:r>
                <w:rPr>
                  <w:rStyle w:val="InternetLink"/>
                  <w:rFonts w:ascii="Times New Roman;serif" w:hAnsi="Times New Roman;serif"/>
                  <w:b w:val="false"/>
                  <w:color w:val="000080"/>
                  <w:sz w:val="20"/>
                  <w:u w:val="single"/>
                </w:rPr>
                <w:t>,</w:t>
              </w:r>
            </w:hyperlink>
            <w:hyperlink r:id="rId4">
              <w:r>
                <w:rPr>
                  <w:rStyle w:val="InternetLink"/>
                  <w:rFonts w:ascii="Times New Roman;serif" w:hAnsi="Times New Roman;serif"/>
                  <w:b w:val="false"/>
                  <w:color w:val="000080"/>
                  <w:sz w:val="20"/>
                  <w:u w:val="single"/>
                </w:rPr>
                <w:t xml:space="preserve"> cash flows</w:t>
              </w:r>
            </w:hyperlink>
            <w:hyperlink r:id="rId5">
              <w:r>
                <w:rPr>
                  <w:rStyle w:val="InternetLink"/>
                  <w:rFonts w:ascii="Times New Roman;serif" w:hAnsi="Times New Roman;serif"/>
                  <w:b w:val="false"/>
                  <w:color w:val="000080"/>
                  <w:sz w:val="20"/>
                  <w:u w:val="single"/>
                </w:rPr>
                <w:t>,</w:t>
              </w:r>
            </w:hyperlink>
            <w:hyperlink r:id="rId6">
              <w:r>
                <w:rPr>
                  <w:rStyle w:val="InternetLink"/>
                  <w:rFonts w:ascii="Times New Roman;serif" w:hAnsi="Times New Roman;serif"/>
                  <w:b w:val="false"/>
                  <w:color w:val="000080"/>
                  <w:sz w:val="20"/>
                  <w:u w:val="single"/>
                </w:rPr>
                <w:t xml:space="preserve"> and accompanying notes to the financial statements</w:t>
              </w:r>
            </w:hyperlink>
            <w:hyperlink r:id="rId7">
              <w:r>
                <w:rPr>
                  <w:rStyle w:val="InternetLink"/>
                  <w:rFonts w:ascii="Times New Roman;serif" w:hAnsi="Times New Roman;serif"/>
                  <w:b w:val="false"/>
                  <w:color w:val="000080"/>
                  <w:sz w:val="20"/>
                  <w:u w:val="single"/>
                </w:rPr>
                <w:t xml:space="preserve"> for the twelve months ended December 31, 2025, and 2024</w:t>
              </w:r>
            </w:hyperlink>
            <w:r>
              <w:rPr>
                <w:rFonts w:ascii="Times New Roman;serif" w:hAnsi="Times New Roman;serif"/>
                <w:b w:val="false"/>
                <w:color w:val="000000"/>
                <w:sz w:val="20"/>
              </w:rPr>
              <w:t>, (incorporated by reference to the Annual Report on Form 10-K filed with the Commission on March 12, 2026, (File No. 001-41505)</w:t>
            </w:r>
          </w:p>
        </w:tc>
      </w:tr>
      <w:tr>
        <w:trPr/>
        <w:tc>
          <w:tcPr>
            <w:tcW w:w="8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a8-k72026exhibit992.htm">
              <w:r>
                <w:rPr>
                  <w:rStyle w:val="InternetLink"/>
                  <w:rFonts w:ascii="Times New Roman;serif" w:hAnsi="Times New Roman;serif"/>
                  <w:b w:val="false"/>
                  <w:color w:val="000000"/>
                  <w:sz w:val="20"/>
                  <w:u w:val="single"/>
                </w:rPr>
                <w:t>Unaudited Pro Forma Condensed Combined Consolidated Financial Information as of and for the year ended December 31, 2025</w:t>
              </w:r>
            </w:hyperlink>
          </w:p>
        </w:tc>
      </w:tr>
      <w:tr>
        <w:trPr/>
        <w:tc>
          <w:tcPr>
            <w:tcW w:w="8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0"/>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July 17, 2026</w:t>
      </w:r>
    </w:p>
    <w:p>
      <w:pPr>
        <w:pStyle w:val="TextBody"/>
        <w:bidi w:val="0"/>
        <w:spacing w:before="0" w:after="2"/>
        <w:jc w:val="left"/>
        <w:rPr/>
      </w:pPr>
      <w:r>
        <w:rPr/>
      </w:r>
    </w:p>
    <w:tbl>
      <w:tblPr>
        <w:tblW w:w="4719" w:type="dxa"/>
        <w:jc w:val="right"/>
        <w:tblInd w:w="0" w:type="dxa"/>
        <w:tblLayout w:type="fixed"/>
        <w:tblCellMar>
          <w:top w:w="28" w:type="dxa"/>
          <w:left w:w="28" w:type="dxa"/>
          <w:bottom w:w="28" w:type="dxa"/>
          <w:right w:w="28" w:type="dxa"/>
        </w:tblCellMar>
      </w:tblPr>
      <w:tblGrid>
        <w:gridCol w:w="748"/>
        <w:gridCol w:w="658"/>
        <w:gridCol w:w="658"/>
        <w:gridCol w:w="775"/>
        <w:gridCol w:w="775"/>
        <w:gridCol w:w="1105"/>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r>
      <w:tr>
        <w:trPr/>
        <w:tc>
          <w:tcPr>
            <w:tcW w:w="4719"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Burke &amp; Herbert Financial Services Corp.</w:t>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Kirtan Parikh</w:t>
            </w:r>
          </w:p>
        </w:tc>
      </w:tr>
      <w:tr>
        <w:trPr/>
        <w:tc>
          <w:tcPr>
            <w:tcW w:w="2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Kirtan Parikh</w:t>
            </w:r>
          </w:p>
        </w:tc>
      </w:tr>
      <w:tr>
        <w:trPr/>
        <w:tc>
          <w:tcPr>
            <w:tcW w:w="2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6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Executive Vice President, CFO</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23.1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933575" cy="419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8"/>
                    <a:stretch>
                      <a:fillRect/>
                    </a:stretch>
                  </pic:blipFill>
                  <pic:spPr bwMode="auto">
                    <a:xfrm>
                      <a:off x="0" y="0"/>
                      <a:ext cx="1933575" cy="4191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We consent to the incorporation by reference in Registration Statement No. 333-292956 on Form S-4, Registration Statements No. 333-272221, 333-279093, 333-288994, 333-295485 on Forms S-8 and Registration Statement No. 333-283261 on Form S-3 of Burke &amp; Herbert Financial Services Corp. of our report dated March 12, 2026, relating to the consolidated financial statements of LINKBANCORP, Inc. and subsidiaries, included in its Annual Report on Form 10-K for the year ended December 31, 2025, and incorporated by reference in this Current Report on Form 8-K/A of Burke &amp; Herbert Financial Services Corp.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 S. R. Snodgrass, P.C.</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Conshohocken, Pennsylvania</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July 17, 2026</w:t>
      </w:r>
    </w:p>
    <w:p>
      <w:pPr>
        <w:pStyle w:val="TextBody"/>
        <w:bidi w:val="0"/>
        <w:spacing w:before="0" w:after="0"/>
        <w:jc w:val="left"/>
        <w:rPr/>
      </w:pPr>
      <w:r>
        <w:rPr/>
      </w:r>
    </w:p>
    <w:p>
      <w:pPr>
        <w:pStyle w:val="TextBody"/>
        <w:bidi w:val="0"/>
        <w:spacing w:before="0" w:after="1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99.2</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07515"/>
                <wp:effectExtent l="0" t="0" r="0" b="0"/>
                <wp:wrapNone/>
                <wp:docPr id="5" name="Frame4"/>
                <a:graphic xmlns:a="http://schemas.openxmlformats.org/drawingml/2006/main">
                  <a:graphicData uri="http://schemas.microsoft.com/office/word/2010/wordprocessingShape">
                    <wps:wsp>
                      <wps:cNvSpPr txBox="1"/>
                      <wps:spPr>
                        <a:xfrm>
                          <a:off x="0" y="0"/>
                          <a:ext cx="6480175" cy="1707515"/>
                        </a:xfrm>
                        <a:prstGeom prst="rect"/>
                        <a:solidFill>
                          <a:srgbClr val="FFFFFF"/>
                        </a:solidFill>
                      </wps:spPr>
                      <wps:txbx>
                        <w:txbxContent>
                          <w:tbl>
                            <w:tblPr>
                              <w:tblW w:w="8562" w:type="dxa"/>
                              <w:jc w:val="left"/>
                              <w:tblInd w:w="0" w:type="dxa"/>
                              <w:tblLayout w:type="fixed"/>
                              <w:tblCellMar>
                                <w:top w:w="28" w:type="dxa"/>
                                <w:left w:w="28" w:type="dxa"/>
                                <w:bottom w:w="28" w:type="dxa"/>
                                <w:right w:w="28" w:type="dxa"/>
                              </w:tblCellMar>
                            </w:tblPr>
                            <w:tblGrid>
                              <w:gridCol w:w="913"/>
                              <w:gridCol w:w="802"/>
                              <w:gridCol w:w="804"/>
                              <w:gridCol w:w="859"/>
                              <w:gridCol w:w="859"/>
                              <w:gridCol w:w="862"/>
                              <w:gridCol w:w="534"/>
                              <w:gridCol w:w="534"/>
                              <w:gridCol w:w="536"/>
                              <w:gridCol w:w="544"/>
                              <w:gridCol w:w="544"/>
                              <w:gridCol w:w="771"/>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tLeast" w:line="179" w:before="0" w:after="0"/>
                                    <w:jc w:val="left"/>
                                    <w:rPr>
                                      <w:rFonts w:ascii="Arial;sans-serif" w:hAnsi="Arial;sans-serif"/>
                                      <w:b w:val="false"/>
                                      <w:color w:val="11BCCF"/>
                                      <w:sz w:val="16"/>
                                    </w:rPr>
                                  </w:pPr>
                                  <w:r>
                                    <w:rPr>
                                      <w:rFonts w:ascii="Arial;sans-serif" w:hAnsi="Arial;sans-serif"/>
                                      <w:b w:val="false"/>
                                      <w:color w:val="11BCCF"/>
                                      <w:sz w:val="16"/>
                                    </w:rPr>
                                    <w:t>PITTSBURGH, PA</w:t>
                                  </w:r>
                                </w:p>
                              </w:tc>
                              <w:tc>
                                <w:tcPr>
                                  <w:tcW w:w="2580" w:type="dxa"/>
                                  <w:gridSpan w:val="3"/>
                                  <w:tcBorders/>
                                  <w:tcMar>
                                    <w:top w:w="0" w:type="dxa"/>
                                    <w:left w:w="0" w:type="dxa"/>
                                    <w:bottom w:w="0" w:type="dxa"/>
                                    <w:right w:w="0" w:type="dxa"/>
                                  </w:tcMar>
                                  <w:vAlign w:val="center"/>
                                </w:tcPr>
                                <w:p>
                                  <w:pPr>
                                    <w:pStyle w:val="TableContents"/>
                                    <w:bidi w:val="0"/>
                                    <w:spacing w:lineRule="atLeast" w:line="179" w:before="0" w:after="0"/>
                                    <w:jc w:val="left"/>
                                    <w:rPr>
                                      <w:rFonts w:ascii="Arial;sans-serif" w:hAnsi="Arial;sans-serif"/>
                                      <w:b w:val="false"/>
                                      <w:color w:val="11BCCF"/>
                                      <w:sz w:val="16"/>
                                    </w:rPr>
                                  </w:pPr>
                                  <w:r>
                                    <w:rPr>
                                      <w:rFonts w:ascii="Arial;sans-serif" w:hAnsi="Arial;sans-serif"/>
                                      <w:b w:val="false"/>
                                      <w:color w:val="11BCCF"/>
                                      <w:sz w:val="16"/>
                                    </w:rPr>
                                    <w:t>PHILADELPHIA, PA</w:t>
                                  </w:r>
                                </w:p>
                              </w:tc>
                              <w:tc>
                                <w:tcPr>
                                  <w:tcW w:w="1604" w:type="dxa"/>
                                  <w:gridSpan w:val="3"/>
                                  <w:tcBorders/>
                                  <w:tcMar>
                                    <w:top w:w="0" w:type="dxa"/>
                                    <w:left w:w="0" w:type="dxa"/>
                                    <w:bottom w:w="0" w:type="dxa"/>
                                    <w:right w:w="0" w:type="dxa"/>
                                  </w:tcMar>
                                  <w:vAlign w:val="center"/>
                                </w:tcPr>
                                <w:p>
                                  <w:pPr>
                                    <w:pStyle w:val="TableContents"/>
                                    <w:bidi w:val="0"/>
                                    <w:spacing w:lineRule="atLeast" w:line="179" w:before="0" w:after="0"/>
                                    <w:jc w:val="left"/>
                                    <w:rPr>
                                      <w:rFonts w:ascii="Arial;sans-serif" w:hAnsi="Arial;sans-serif"/>
                                      <w:b w:val="false"/>
                                      <w:color w:val="11BCCF"/>
                                      <w:sz w:val="16"/>
                                    </w:rPr>
                                  </w:pPr>
                                  <w:r>
                                    <w:rPr>
                                      <w:rFonts w:ascii="Arial;sans-serif" w:hAnsi="Arial;sans-serif"/>
                                      <w:b w:val="false"/>
                                      <w:color w:val="11BCCF"/>
                                      <w:sz w:val="16"/>
                                    </w:rPr>
                                    <w:t>WHEELING, WV</w:t>
                                  </w:r>
                                </w:p>
                              </w:tc>
                              <w:tc>
                                <w:tcPr>
                                  <w:tcW w:w="1859" w:type="dxa"/>
                                  <w:gridSpan w:val="3"/>
                                  <w:tcBorders/>
                                  <w:tcMar>
                                    <w:top w:w="0" w:type="dxa"/>
                                    <w:left w:w="0" w:type="dxa"/>
                                    <w:bottom w:w="0" w:type="dxa"/>
                                    <w:right w:w="0" w:type="dxa"/>
                                  </w:tcMar>
                                  <w:vAlign w:val="center"/>
                                </w:tcPr>
                                <w:p>
                                  <w:pPr>
                                    <w:pStyle w:val="TableContents"/>
                                    <w:bidi w:val="0"/>
                                    <w:spacing w:lineRule="atLeast" w:line="179" w:before="0" w:after="0"/>
                                    <w:jc w:val="left"/>
                                    <w:rPr>
                                      <w:rFonts w:ascii="Arial;sans-serif" w:hAnsi="Arial;sans-serif"/>
                                      <w:b w:val="false"/>
                                      <w:color w:val="11BCCF"/>
                                      <w:sz w:val="16"/>
                                    </w:rPr>
                                  </w:pPr>
                                  <w:r>
                                    <w:rPr>
                                      <w:rFonts w:ascii="Arial;sans-serif" w:hAnsi="Arial;sans-serif"/>
                                      <w:b w:val="false"/>
                                      <w:color w:val="11BCCF"/>
                                      <w:sz w:val="16"/>
                                    </w:rPr>
                                    <w:t>STEUBENVILLE, OH</w:t>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131" w:after="283"/>
                                    <w:jc w:val="left"/>
                                    <w:rPr>
                                      <w:rFonts w:ascii="Arial;sans-serif" w:hAnsi="Arial;sans-serif"/>
                                      <w:b w:val="false"/>
                                      <w:color w:val="164B9E"/>
                                      <w:sz w:val="16"/>
                                    </w:rPr>
                                  </w:pPr>
                                  <w:r>
                                    <w:rPr>
                                      <w:rFonts w:ascii="Arial;sans-serif" w:hAnsi="Arial;sans-serif"/>
                                      <w:b w:val="false"/>
                                      <w:color w:val="164B9E"/>
                                      <w:sz w:val="16"/>
                                    </w:rPr>
                                    <w:t>2009 Mackenzie Way • Suite 340</w:t>
                                  </w:r>
                                </w:p>
                              </w:tc>
                              <w:tc>
                                <w:tcPr>
                                  <w:tcW w:w="2580" w:type="dxa"/>
                                  <w:gridSpan w:val="3"/>
                                  <w:tcBorders/>
                                  <w:tcMar>
                                    <w:top w:w="0" w:type="dxa"/>
                                    <w:left w:w="0" w:type="dxa"/>
                                    <w:bottom w:w="0" w:type="dxa"/>
                                    <w:right w:w="0" w:type="dxa"/>
                                  </w:tcMar>
                                  <w:vAlign w:val="center"/>
                                </w:tcPr>
                                <w:p>
                                  <w:pPr>
                                    <w:pStyle w:val="TableContents"/>
                                    <w:bidi w:val="0"/>
                                    <w:spacing w:lineRule="auto" w:line="288" w:before="131" w:after="283"/>
                                    <w:jc w:val="left"/>
                                    <w:rPr>
                                      <w:rFonts w:ascii="Arial;sans-serif" w:hAnsi="Arial;sans-serif"/>
                                      <w:b w:val="false"/>
                                      <w:color w:val="164B9E"/>
                                      <w:sz w:val="16"/>
                                    </w:rPr>
                                  </w:pPr>
                                  <w:r>
                                    <w:rPr>
                                      <w:rFonts w:ascii="Arial;sans-serif" w:hAnsi="Arial;sans-serif"/>
                                      <w:b w:val="false"/>
                                      <w:color w:val="164B9E"/>
                                      <w:sz w:val="16"/>
                                    </w:rPr>
                                    <w:t>161 Washington Street • Suite 200</w:t>
                                  </w:r>
                                </w:p>
                              </w:tc>
                              <w:tc>
                                <w:tcPr>
                                  <w:tcW w:w="1604" w:type="dxa"/>
                                  <w:gridSpan w:val="3"/>
                                  <w:tcBorders/>
                                  <w:tcMar>
                                    <w:top w:w="0" w:type="dxa"/>
                                    <w:left w:w="0" w:type="dxa"/>
                                    <w:bottom w:w="0" w:type="dxa"/>
                                    <w:right w:w="0" w:type="dxa"/>
                                  </w:tcMar>
                                  <w:vAlign w:val="center"/>
                                </w:tcPr>
                                <w:p>
                                  <w:pPr>
                                    <w:pStyle w:val="TableContents"/>
                                    <w:bidi w:val="0"/>
                                    <w:spacing w:lineRule="auto" w:line="288" w:before="131" w:after="283"/>
                                    <w:jc w:val="left"/>
                                    <w:rPr>
                                      <w:rFonts w:ascii="Arial;sans-serif" w:hAnsi="Arial;sans-serif"/>
                                      <w:b w:val="false"/>
                                      <w:color w:val="164B9E"/>
                                      <w:sz w:val="16"/>
                                    </w:rPr>
                                  </w:pPr>
                                  <w:r>
                                    <w:rPr>
                                      <w:rFonts w:ascii="Arial;sans-serif" w:hAnsi="Arial;sans-serif"/>
                                      <w:b w:val="false"/>
                                      <w:color w:val="164B9E"/>
                                      <w:sz w:val="16"/>
                                    </w:rPr>
                                    <w:t>980 National Road</w:t>
                                  </w:r>
                                </w:p>
                              </w:tc>
                              <w:tc>
                                <w:tcPr>
                                  <w:tcW w:w="1859" w:type="dxa"/>
                                  <w:gridSpan w:val="3"/>
                                  <w:tcBorders/>
                                  <w:tcMar>
                                    <w:top w:w="0" w:type="dxa"/>
                                    <w:left w:w="0" w:type="dxa"/>
                                    <w:bottom w:w="0" w:type="dxa"/>
                                    <w:right w:w="0" w:type="dxa"/>
                                  </w:tcMar>
                                  <w:vAlign w:val="center"/>
                                </w:tcPr>
                                <w:p>
                                  <w:pPr>
                                    <w:pStyle w:val="TableContents"/>
                                    <w:bidi w:val="0"/>
                                    <w:spacing w:lineRule="auto" w:line="288" w:before="131" w:after="283"/>
                                    <w:jc w:val="left"/>
                                    <w:rPr>
                                      <w:rFonts w:ascii="Arial;sans-serif" w:hAnsi="Arial;sans-serif"/>
                                      <w:b w:val="false"/>
                                      <w:color w:val="164B9E"/>
                                      <w:sz w:val="16"/>
                                    </w:rPr>
                                  </w:pPr>
                                  <w:r>
                                    <w:rPr>
                                      <w:rFonts w:ascii="Arial;sans-serif" w:hAnsi="Arial;sans-serif"/>
                                      <w:b w:val="false"/>
                                      <w:color w:val="164B9E"/>
                                      <w:sz w:val="16"/>
                                    </w:rPr>
                                    <w:t>511 N. Fourth Street</w:t>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28" w:after="283"/>
                                    <w:jc w:val="left"/>
                                    <w:rPr>
                                      <w:rFonts w:ascii="Arial;sans-serif" w:hAnsi="Arial;sans-serif"/>
                                      <w:b w:val="false"/>
                                      <w:color w:val="164B9E"/>
                                      <w:sz w:val="16"/>
                                    </w:rPr>
                                  </w:pPr>
                                  <w:r>
                                    <w:rPr>
                                      <w:rFonts w:ascii="Arial;sans-serif" w:hAnsi="Arial;sans-serif"/>
                                      <w:b w:val="false"/>
                                      <w:color w:val="164B9E"/>
                                      <w:sz w:val="16"/>
                                    </w:rPr>
                                    <w:t>Cranberry Township, PA 16066</w:t>
                                  </w:r>
                                </w:p>
                              </w:tc>
                              <w:tc>
                                <w:tcPr>
                                  <w:tcW w:w="2580" w:type="dxa"/>
                                  <w:gridSpan w:val="3"/>
                                  <w:tcBorders/>
                                  <w:tcMar>
                                    <w:top w:w="0" w:type="dxa"/>
                                    <w:left w:w="0" w:type="dxa"/>
                                    <w:bottom w:w="0" w:type="dxa"/>
                                    <w:right w:w="0" w:type="dxa"/>
                                  </w:tcMar>
                                  <w:vAlign w:val="center"/>
                                </w:tcPr>
                                <w:p>
                                  <w:pPr>
                                    <w:pStyle w:val="TableContents"/>
                                    <w:bidi w:val="0"/>
                                    <w:spacing w:lineRule="auto" w:line="288" w:before="28" w:after="283"/>
                                    <w:jc w:val="left"/>
                                    <w:rPr>
                                      <w:rFonts w:ascii="Arial;sans-serif" w:hAnsi="Arial;sans-serif"/>
                                      <w:b w:val="false"/>
                                      <w:color w:val="164B9E"/>
                                      <w:sz w:val="16"/>
                                    </w:rPr>
                                  </w:pPr>
                                  <w:r>
                                    <w:rPr>
                                      <w:rFonts w:ascii="Arial;sans-serif" w:hAnsi="Arial;sans-serif"/>
                                      <w:b w:val="false"/>
                                      <w:color w:val="164B9E"/>
                                      <w:sz w:val="16"/>
                                    </w:rPr>
                                    <w:t>Conshohocken, PA 19428</w:t>
                                  </w:r>
                                </w:p>
                              </w:tc>
                              <w:tc>
                                <w:tcPr>
                                  <w:tcW w:w="1604" w:type="dxa"/>
                                  <w:gridSpan w:val="3"/>
                                  <w:tcBorders/>
                                  <w:tcMar>
                                    <w:top w:w="0" w:type="dxa"/>
                                    <w:left w:w="0" w:type="dxa"/>
                                    <w:bottom w:w="0" w:type="dxa"/>
                                    <w:right w:w="0" w:type="dxa"/>
                                  </w:tcMar>
                                  <w:vAlign w:val="center"/>
                                </w:tcPr>
                                <w:p>
                                  <w:pPr>
                                    <w:pStyle w:val="TableContents"/>
                                    <w:bidi w:val="0"/>
                                    <w:spacing w:lineRule="auto" w:line="288" w:before="28" w:after="283"/>
                                    <w:jc w:val="left"/>
                                    <w:rPr>
                                      <w:rFonts w:ascii="Arial;sans-serif" w:hAnsi="Arial;sans-serif"/>
                                      <w:b w:val="false"/>
                                      <w:color w:val="164B9E"/>
                                      <w:sz w:val="16"/>
                                    </w:rPr>
                                  </w:pPr>
                                  <w:r>
                                    <w:rPr>
                                      <w:rFonts w:ascii="Arial;sans-serif" w:hAnsi="Arial;sans-serif"/>
                                      <w:b w:val="false"/>
                                      <w:color w:val="164B9E"/>
                                      <w:sz w:val="16"/>
                                    </w:rPr>
                                    <w:t>Wheeling, WV 26003</w:t>
                                  </w:r>
                                </w:p>
                              </w:tc>
                              <w:tc>
                                <w:tcPr>
                                  <w:tcW w:w="1859" w:type="dxa"/>
                                  <w:gridSpan w:val="3"/>
                                  <w:tcBorders/>
                                  <w:tcMar>
                                    <w:top w:w="0" w:type="dxa"/>
                                    <w:left w:w="0" w:type="dxa"/>
                                    <w:bottom w:w="0" w:type="dxa"/>
                                    <w:right w:w="0" w:type="dxa"/>
                                  </w:tcMar>
                                  <w:vAlign w:val="center"/>
                                </w:tcPr>
                                <w:p>
                                  <w:pPr>
                                    <w:pStyle w:val="TableContents"/>
                                    <w:bidi w:val="0"/>
                                    <w:spacing w:lineRule="auto" w:line="288" w:before="28" w:after="283"/>
                                    <w:jc w:val="left"/>
                                    <w:rPr>
                                      <w:rFonts w:ascii="Arial;sans-serif" w:hAnsi="Arial;sans-serif"/>
                                      <w:b w:val="false"/>
                                      <w:color w:val="164B9E"/>
                                      <w:sz w:val="16"/>
                                    </w:rPr>
                                  </w:pPr>
                                  <w:r>
                                    <w:rPr>
                                      <w:rFonts w:ascii="Arial;sans-serif" w:hAnsi="Arial;sans-serif"/>
                                      <w:b w:val="false"/>
                                      <w:color w:val="164B9E"/>
                                      <w:sz w:val="16"/>
                                    </w:rPr>
                                    <w:t>Steubenville, OH 43952</w:t>
                                  </w:r>
                                </w:p>
                              </w:tc>
                            </w:tr>
                            <w:tr>
                              <w:trPr/>
                              <w:tc>
                                <w:tcPr>
                                  <w:tcW w:w="2519" w:type="dxa"/>
                                  <w:gridSpan w:val="3"/>
                                  <w:tcBorders/>
                                  <w:tcMar>
                                    <w:top w:w="0" w:type="dxa"/>
                                    <w:left w:w="0" w:type="dxa"/>
                                    <w:bottom w:w="0" w:type="dxa"/>
                                    <w:right w:w="0" w:type="dxa"/>
                                  </w:tcMar>
                                  <w:vAlign w:val="center"/>
                                </w:tcPr>
                                <w:p>
                                  <w:pPr>
                                    <w:pStyle w:val="TableContents"/>
                                    <w:bidi w:val="0"/>
                                    <w:spacing w:lineRule="atLeast" w:line="164" w:before="28" w:after="283"/>
                                    <w:jc w:val="left"/>
                                    <w:rPr>
                                      <w:rFonts w:ascii="Arial;sans-serif" w:hAnsi="Arial;sans-serif"/>
                                      <w:b w:val="false"/>
                                      <w:color w:val="164B9E"/>
                                      <w:sz w:val="16"/>
                                    </w:rPr>
                                  </w:pPr>
                                  <w:r>
                                    <w:rPr>
                                      <w:rFonts w:ascii="Arial;sans-serif" w:hAnsi="Arial;sans-serif"/>
                                      <w:b w:val="false"/>
                                      <w:color w:val="164B9E"/>
                                      <w:sz w:val="16"/>
                                    </w:rPr>
                                    <w:t>(724) 934-0344</w:t>
                                  </w:r>
                                </w:p>
                              </w:tc>
                              <w:tc>
                                <w:tcPr>
                                  <w:tcW w:w="2580" w:type="dxa"/>
                                  <w:gridSpan w:val="3"/>
                                  <w:tcBorders/>
                                  <w:tcMar>
                                    <w:top w:w="0" w:type="dxa"/>
                                    <w:left w:w="0" w:type="dxa"/>
                                    <w:bottom w:w="0" w:type="dxa"/>
                                    <w:right w:w="0" w:type="dxa"/>
                                  </w:tcMar>
                                  <w:vAlign w:val="center"/>
                                </w:tcPr>
                                <w:p>
                                  <w:pPr>
                                    <w:pStyle w:val="TableContents"/>
                                    <w:bidi w:val="0"/>
                                    <w:spacing w:lineRule="atLeast" w:line="164" w:before="28" w:after="283"/>
                                    <w:jc w:val="left"/>
                                    <w:rPr>
                                      <w:rFonts w:ascii="Arial;sans-serif" w:hAnsi="Arial;sans-serif"/>
                                      <w:b w:val="false"/>
                                      <w:color w:val="164B9E"/>
                                      <w:sz w:val="16"/>
                                    </w:rPr>
                                  </w:pPr>
                                  <w:r>
                                    <w:rPr>
                                      <w:rFonts w:ascii="Arial;sans-serif" w:hAnsi="Arial;sans-serif"/>
                                      <w:b w:val="false"/>
                                      <w:color w:val="164B9E"/>
                                      <w:sz w:val="16"/>
                                    </w:rPr>
                                    <w:t>(610) 278-9800</w:t>
                                  </w:r>
                                </w:p>
                              </w:tc>
                              <w:tc>
                                <w:tcPr>
                                  <w:tcW w:w="1604" w:type="dxa"/>
                                  <w:gridSpan w:val="3"/>
                                  <w:tcBorders/>
                                  <w:tcMar>
                                    <w:top w:w="0" w:type="dxa"/>
                                    <w:left w:w="0" w:type="dxa"/>
                                    <w:bottom w:w="0" w:type="dxa"/>
                                    <w:right w:w="0" w:type="dxa"/>
                                  </w:tcMar>
                                  <w:vAlign w:val="center"/>
                                </w:tcPr>
                                <w:p>
                                  <w:pPr>
                                    <w:pStyle w:val="TableContents"/>
                                    <w:bidi w:val="0"/>
                                    <w:spacing w:lineRule="atLeast" w:line="164" w:before="28" w:after="283"/>
                                    <w:jc w:val="left"/>
                                    <w:rPr>
                                      <w:rFonts w:ascii="Arial;sans-serif" w:hAnsi="Arial;sans-serif"/>
                                      <w:b w:val="false"/>
                                      <w:color w:val="164B9E"/>
                                      <w:sz w:val="16"/>
                                    </w:rPr>
                                  </w:pPr>
                                  <w:r>
                                    <w:rPr>
                                      <w:rFonts w:ascii="Arial;sans-serif" w:hAnsi="Arial;sans-serif"/>
                                      <w:b w:val="false"/>
                                      <w:color w:val="164B9E"/>
                                      <w:sz w:val="16"/>
                                    </w:rPr>
                                    <w:t>(304) 233-5030</w:t>
                                  </w:r>
                                </w:p>
                              </w:tc>
                              <w:tc>
                                <w:tcPr>
                                  <w:tcW w:w="1859" w:type="dxa"/>
                                  <w:gridSpan w:val="3"/>
                                  <w:tcBorders/>
                                  <w:tcMar>
                                    <w:top w:w="0" w:type="dxa"/>
                                    <w:left w:w="0" w:type="dxa"/>
                                    <w:bottom w:w="0" w:type="dxa"/>
                                    <w:right w:w="0" w:type="dxa"/>
                                  </w:tcMar>
                                  <w:vAlign w:val="center"/>
                                </w:tcPr>
                                <w:p>
                                  <w:pPr>
                                    <w:pStyle w:val="TableContents"/>
                                    <w:bidi w:val="0"/>
                                    <w:spacing w:lineRule="atLeast" w:line="164" w:before="28" w:after="283"/>
                                    <w:jc w:val="left"/>
                                    <w:rPr>
                                      <w:rFonts w:ascii="Arial;sans-serif" w:hAnsi="Arial;sans-serif"/>
                                      <w:b w:val="false"/>
                                      <w:color w:val="164B9E"/>
                                      <w:sz w:val="16"/>
                                    </w:rPr>
                                  </w:pPr>
                                  <w:r>
                                    <w:rPr>
                                      <w:rFonts w:ascii="Arial;sans-serif" w:hAnsi="Arial;sans-serif"/>
                                      <w:b w:val="false"/>
                                      <w:color w:val="164B9E"/>
                                      <w:sz w:val="16"/>
                                    </w:rPr>
                                    <w:t>(304) 233-5030</w:t>
                                  </w:r>
                                </w:p>
                              </w:tc>
                            </w:tr>
                          </w:tbl>
                          <w:p>
                            <w:pPr>
                              <w:pStyle w:val="TextBody"/>
                              <w:bidi w:val="0"/>
                              <w:spacing w:before="0" w:after="0"/>
                              <w:jc w:val="both"/>
                              <w:rPr/>
                            </w:pPr>
                            <w:r>
                              <w:rPr/>
                            </w:r>
                          </w:p>
                          <w:p>
                            <w:pPr>
                              <w:pStyle w:val="TextBody"/>
                              <w:bidi w:val="0"/>
                              <w:spacing w:lineRule="auto" w:line="288" w:before="0" w:after="0"/>
                              <w:ind w:left="0" w:right="0" w:firstLine="1980"/>
                              <w:jc w:val="left"/>
                              <w:rPr>
                                <w:rFonts w:ascii="Arial;sans-serif" w:hAnsi="Arial;sans-serif"/>
                                <w:b w:val="false"/>
                                <w:color w:val="164B9E"/>
                                <w:sz w:val="16"/>
                              </w:rPr>
                            </w:pPr>
                            <w:r>
                              <w:rPr>
                                <w:rFonts w:ascii="Arial;sans-serif" w:hAnsi="Arial;sans-serif"/>
                                <w:b w:val="false"/>
                                <w:color w:val="164B9E"/>
                                <w:sz w:val="16"/>
                              </w:rPr>
                              <w:t xml:space="preserve">S.R. Snodgrass, P.C. d/b/a S.R. Snodgrass, A.C. in West Virginia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45pt;mso-wrap-distance-left:0pt;mso-wrap-distance-right:0pt;mso-wrap-distance-top:0pt;mso-wrap-distance-bottom:0pt;margin-top:0pt;mso-position-vertical:top;mso-position-vertical-relative:text;margin-left:-430.35pt;mso-position-horizontal:left;mso-position-horizontal-relative:text">
                <v:textbox>
                  <w:txbxContent>
                    <w:tbl>
                      <w:tblPr>
                        <w:tblW w:w="8562" w:type="dxa"/>
                        <w:jc w:val="left"/>
                        <w:tblInd w:w="0" w:type="dxa"/>
                        <w:tblLayout w:type="fixed"/>
                        <w:tblCellMar>
                          <w:top w:w="28" w:type="dxa"/>
                          <w:left w:w="28" w:type="dxa"/>
                          <w:bottom w:w="28" w:type="dxa"/>
                          <w:right w:w="28" w:type="dxa"/>
                        </w:tblCellMar>
                      </w:tblPr>
                      <w:tblGrid>
                        <w:gridCol w:w="913"/>
                        <w:gridCol w:w="802"/>
                        <w:gridCol w:w="804"/>
                        <w:gridCol w:w="859"/>
                        <w:gridCol w:w="859"/>
                        <w:gridCol w:w="862"/>
                        <w:gridCol w:w="534"/>
                        <w:gridCol w:w="534"/>
                        <w:gridCol w:w="536"/>
                        <w:gridCol w:w="544"/>
                        <w:gridCol w:w="544"/>
                        <w:gridCol w:w="771"/>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tLeast" w:line="179" w:before="0" w:after="0"/>
                              <w:jc w:val="left"/>
                              <w:rPr>
                                <w:rFonts w:ascii="Arial;sans-serif" w:hAnsi="Arial;sans-serif"/>
                                <w:b w:val="false"/>
                                <w:color w:val="11BCCF"/>
                                <w:sz w:val="16"/>
                              </w:rPr>
                            </w:pPr>
                            <w:r>
                              <w:rPr>
                                <w:rFonts w:ascii="Arial;sans-serif" w:hAnsi="Arial;sans-serif"/>
                                <w:b w:val="false"/>
                                <w:color w:val="11BCCF"/>
                                <w:sz w:val="16"/>
                              </w:rPr>
                              <w:t>PITTSBURGH, PA</w:t>
                            </w:r>
                          </w:p>
                        </w:tc>
                        <w:tc>
                          <w:tcPr>
                            <w:tcW w:w="2580" w:type="dxa"/>
                            <w:gridSpan w:val="3"/>
                            <w:tcBorders/>
                            <w:tcMar>
                              <w:top w:w="0" w:type="dxa"/>
                              <w:left w:w="0" w:type="dxa"/>
                              <w:bottom w:w="0" w:type="dxa"/>
                              <w:right w:w="0" w:type="dxa"/>
                            </w:tcMar>
                            <w:vAlign w:val="center"/>
                          </w:tcPr>
                          <w:p>
                            <w:pPr>
                              <w:pStyle w:val="TableContents"/>
                              <w:bidi w:val="0"/>
                              <w:spacing w:lineRule="atLeast" w:line="179" w:before="0" w:after="0"/>
                              <w:jc w:val="left"/>
                              <w:rPr>
                                <w:rFonts w:ascii="Arial;sans-serif" w:hAnsi="Arial;sans-serif"/>
                                <w:b w:val="false"/>
                                <w:color w:val="11BCCF"/>
                                <w:sz w:val="16"/>
                              </w:rPr>
                            </w:pPr>
                            <w:r>
                              <w:rPr>
                                <w:rFonts w:ascii="Arial;sans-serif" w:hAnsi="Arial;sans-serif"/>
                                <w:b w:val="false"/>
                                <w:color w:val="11BCCF"/>
                                <w:sz w:val="16"/>
                              </w:rPr>
                              <w:t>PHILADELPHIA, PA</w:t>
                            </w:r>
                          </w:p>
                        </w:tc>
                        <w:tc>
                          <w:tcPr>
                            <w:tcW w:w="1604" w:type="dxa"/>
                            <w:gridSpan w:val="3"/>
                            <w:tcBorders/>
                            <w:tcMar>
                              <w:top w:w="0" w:type="dxa"/>
                              <w:left w:w="0" w:type="dxa"/>
                              <w:bottom w:w="0" w:type="dxa"/>
                              <w:right w:w="0" w:type="dxa"/>
                            </w:tcMar>
                            <w:vAlign w:val="center"/>
                          </w:tcPr>
                          <w:p>
                            <w:pPr>
                              <w:pStyle w:val="TableContents"/>
                              <w:bidi w:val="0"/>
                              <w:spacing w:lineRule="atLeast" w:line="179" w:before="0" w:after="0"/>
                              <w:jc w:val="left"/>
                              <w:rPr>
                                <w:rFonts w:ascii="Arial;sans-serif" w:hAnsi="Arial;sans-serif"/>
                                <w:b w:val="false"/>
                                <w:color w:val="11BCCF"/>
                                <w:sz w:val="16"/>
                              </w:rPr>
                            </w:pPr>
                            <w:r>
                              <w:rPr>
                                <w:rFonts w:ascii="Arial;sans-serif" w:hAnsi="Arial;sans-serif"/>
                                <w:b w:val="false"/>
                                <w:color w:val="11BCCF"/>
                                <w:sz w:val="16"/>
                              </w:rPr>
                              <w:t>WHEELING, WV</w:t>
                            </w:r>
                          </w:p>
                        </w:tc>
                        <w:tc>
                          <w:tcPr>
                            <w:tcW w:w="1859" w:type="dxa"/>
                            <w:gridSpan w:val="3"/>
                            <w:tcBorders/>
                            <w:tcMar>
                              <w:top w:w="0" w:type="dxa"/>
                              <w:left w:w="0" w:type="dxa"/>
                              <w:bottom w:w="0" w:type="dxa"/>
                              <w:right w:w="0" w:type="dxa"/>
                            </w:tcMar>
                            <w:vAlign w:val="center"/>
                          </w:tcPr>
                          <w:p>
                            <w:pPr>
                              <w:pStyle w:val="TableContents"/>
                              <w:bidi w:val="0"/>
                              <w:spacing w:lineRule="atLeast" w:line="179" w:before="0" w:after="0"/>
                              <w:jc w:val="left"/>
                              <w:rPr>
                                <w:rFonts w:ascii="Arial;sans-serif" w:hAnsi="Arial;sans-serif"/>
                                <w:b w:val="false"/>
                                <w:color w:val="11BCCF"/>
                                <w:sz w:val="16"/>
                              </w:rPr>
                            </w:pPr>
                            <w:r>
                              <w:rPr>
                                <w:rFonts w:ascii="Arial;sans-serif" w:hAnsi="Arial;sans-serif"/>
                                <w:b w:val="false"/>
                                <w:color w:val="11BCCF"/>
                                <w:sz w:val="16"/>
                              </w:rPr>
                              <w:t>STEUBENVILLE, OH</w:t>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131" w:after="283"/>
                              <w:jc w:val="left"/>
                              <w:rPr>
                                <w:rFonts w:ascii="Arial;sans-serif" w:hAnsi="Arial;sans-serif"/>
                                <w:b w:val="false"/>
                                <w:color w:val="164B9E"/>
                                <w:sz w:val="16"/>
                              </w:rPr>
                            </w:pPr>
                            <w:r>
                              <w:rPr>
                                <w:rFonts w:ascii="Arial;sans-serif" w:hAnsi="Arial;sans-serif"/>
                                <w:b w:val="false"/>
                                <w:color w:val="164B9E"/>
                                <w:sz w:val="16"/>
                              </w:rPr>
                              <w:t>2009 Mackenzie Way • Suite 340</w:t>
                            </w:r>
                          </w:p>
                        </w:tc>
                        <w:tc>
                          <w:tcPr>
                            <w:tcW w:w="2580" w:type="dxa"/>
                            <w:gridSpan w:val="3"/>
                            <w:tcBorders/>
                            <w:tcMar>
                              <w:top w:w="0" w:type="dxa"/>
                              <w:left w:w="0" w:type="dxa"/>
                              <w:bottom w:w="0" w:type="dxa"/>
                              <w:right w:w="0" w:type="dxa"/>
                            </w:tcMar>
                            <w:vAlign w:val="center"/>
                          </w:tcPr>
                          <w:p>
                            <w:pPr>
                              <w:pStyle w:val="TableContents"/>
                              <w:bidi w:val="0"/>
                              <w:spacing w:lineRule="auto" w:line="288" w:before="131" w:after="283"/>
                              <w:jc w:val="left"/>
                              <w:rPr>
                                <w:rFonts w:ascii="Arial;sans-serif" w:hAnsi="Arial;sans-serif"/>
                                <w:b w:val="false"/>
                                <w:color w:val="164B9E"/>
                                <w:sz w:val="16"/>
                              </w:rPr>
                            </w:pPr>
                            <w:r>
                              <w:rPr>
                                <w:rFonts w:ascii="Arial;sans-serif" w:hAnsi="Arial;sans-serif"/>
                                <w:b w:val="false"/>
                                <w:color w:val="164B9E"/>
                                <w:sz w:val="16"/>
                              </w:rPr>
                              <w:t>161 Washington Street • Suite 200</w:t>
                            </w:r>
                          </w:p>
                        </w:tc>
                        <w:tc>
                          <w:tcPr>
                            <w:tcW w:w="1604" w:type="dxa"/>
                            <w:gridSpan w:val="3"/>
                            <w:tcBorders/>
                            <w:tcMar>
                              <w:top w:w="0" w:type="dxa"/>
                              <w:left w:w="0" w:type="dxa"/>
                              <w:bottom w:w="0" w:type="dxa"/>
                              <w:right w:w="0" w:type="dxa"/>
                            </w:tcMar>
                            <w:vAlign w:val="center"/>
                          </w:tcPr>
                          <w:p>
                            <w:pPr>
                              <w:pStyle w:val="TableContents"/>
                              <w:bidi w:val="0"/>
                              <w:spacing w:lineRule="auto" w:line="288" w:before="131" w:after="283"/>
                              <w:jc w:val="left"/>
                              <w:rPr>
                                <w:rFonts w:ascii="Arial;sans-serif" w:hAnsi="Arial;sans-serif"/>
                                <w:b w:val="false"/>
                                <w:color w:val="164B9E"/>
                                <w:sz w:val="16"/>
                              </w:rPr>
                            </w:pPr>
                            <w:r>
                              <w:rPr>
                                <w:rFonts w:ascii="Arial;sans-serif" w:hAnsi="Arial;sans-serif"/>
                                <w:b w:val="false"/>
                                <w:color w:val="164B9E"/>
                                <w:sz w:val="16"/>
                              </w:rPr>
                              <w:t>980 National Road</w:t>
                            </w:r>
                          </w:p>
                        </w:tc>
                        <w:tc>
                          <w:tcPr>
                            <w:tcW w:w="1859" w:type="dxa"/>
                            <w:gridSpan w:val="3"/>
                            <w:tcBorders/>
                            <w:tcMar>
                              <w:top w:w="0" w:type="dxa"/>
                              <w:left w:w="0" w:type="dxa"/>
                              <w:bottom w:w="0" w:type="dxa"/>
                              <w:right w:w="0" w:type="dxa"/>
                            </w:tcMar>
                            <w:vAlign w:val="center"/>
                          </w:tcPr>
                          <w:p>
                            <w:pPr>
                              <w:pStyle w:val="TableContents"/>
                              <w:bidi w:val="0"/>
                              <w:spacing w:lineRule="auto" w:line="288" w:before="131" w:after="283"/>
                              <w:jc w:val="left"/>
                              <w:rPr>
                                <w:rFonts w:ascii="Arial;sans-serif" w:hAnsi="Arial;sans-serif"/>
                                <w:b w:val="false"/>
                                <w:color w:val="164B9E"/>
                                <w:sz w:val="16"/>
                              </w:rPr>
                            </w:pPr>
                            <w:r>
                              <w:rPr>
                                <w:rFonts w:ascii="Arial;sans-serif" w:hAnsi="Arial;sans-serif"/>
                                <w:b w:val="false"/>
                                <w:color w:val="164B9E"/>
                                <w:sz w:val="16"/>
                              </w:rPr>
                              <w:t>511 N. Fourth Street</w:t>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28" w:after="283"/>
                              <w:jc w:val="left"/>
                              <w:rPr>
                                <w:rFonts w:ascii="Arial;sans-serif" w:hAnsi="Arial;sans-serif"/>
                                <w:b w:val="false"/>
                                <w:color w:val="164B9E"/>
                                <w:sz w:val="16"/>
                              </w:rPr>
                            </w:pPr>
                            <w:r>
                              <w:rPr>
                                <w:rFonts w:ascii="Arial;sans-serif" w:hAnsi="Arial;sans-serif"/>
                                <w:b w:val="false"/>
                                <w:color w:val="164B9E"/>
                                <w:sz w:val="16"/>
                              </w:rPr>
                              <w:t>Cranberry Township, PA 16066</w:t>
                            </w:r>
                          </w:p>
                        </w:tc>
                        <w:tc>
                          <w:tcPr>
                            <w:tcW w:w="2580" w:type="dxa"/>
                            <w:gridSpan w:val="3"/>
                            <w:tcBorders/>
                            <w:tcMar>
                              <w:top w:w="0" w:type="dxa"/>
                              <w:left w:w="0" w:type="dxa"/>
                              <w:bottom w:w="0" w:type="dxa"/>
                              <w:right w:w="0" w:type="dxa"/>
                            </w:tcMar>
                            <w:vAlign w:val="center"/>
                          </w:tcPr>
                          <w:p>
                            <w:pPr>
                              <w:pStyle w:val="TableContents"/>
                              <w:bidi w:val="0"/>
                              <w:spacing w:lineRule="auto" w:line="288" w:before="28" w:after="283"/>
                              <w:jc w:val="left"/>
                              <w:rPr>
                                <w:rFonts w:ascii="Arial;sans-serif" w:hAnsi="Arial;sans-serif"/>
                                <w:b w:val="false"/>
                                <w:color w:val="164B9E"/>
                                <w:sz w:val="16"/>
                              </w:rPr>
                            </w:pPr>
                            <w:r>
                              <w:rPr>
                                <w:rFonts w:ascii="Arial;sans-serif" w:hAnsi="Arial;sans-serif"/>
                                <w:b w:val="false"/>
                                <w:color w:val="164B9E"/>
                                <w:sz w:val="16"/>
                              </w:rPr>
                              <w:t>Conshohocken, PA 19428</w:t>
                            </w:r>
                          </w:p>
                        </w:tc>
                        <w:tc>
                          <w:tcPr>
                            <w:tcW w:w="1604" w:type="dxa"/>
                            <w:gridSpan w:val="3"/>
                            <w:tcBorders/>
                            <w:tcMar>
                              <w:top w:w="0" w:type="dxa"/>
                              <w:left w:w="0" w:type="dxa"/>
                              <w:bottom w:w="0" w:type="dxa"/>
                              <w:right w:w="0" w:type="dxa"/>
                            </w:tcMar>
                            <w:vAlign w:val="center"/>
                          </w:tcPr>
                          <w:p>
                            <w:pPr>
                              <w:pStyle w:val="TableContents"/>
                              <w:bidi w:val="0"/>
                              <w:spacing w:lineRule="auto" w:line="288" w:before="28" w:after="283"/>
                              <w:jc w:val="left"/>
                              <w:rPr>
                                <w:rFonts w:ascii="Arial;sans-serif" w:hAnsi="Arial;sans-serif"/>
                                <w:b w:val="false"/>
                                <w:color w:val="164B9E"/>
                                <w:sz w:val="16"/>
                              </w:rPr>
                            </w:pPr>
                            <w:r>
                              <w:rPr>
                                <w:rFonts w:ascii="Arial;sans-serif" w:hAnsi="Arial;sans-serif"/>
                                <w:b w:val="false"/>
                                <w:color w:val="164B9E"/>
                                <w:sz w:val="16"/>
                              </w:rPr>
                              <w:t>Wheeling, WV 26003</w:t>
                            </w:r>
                          </w:p>
                        </w:tc>
                        <w:tc>
                          <w:tcPr>
                            <w:tcW w:w="1859" w:type="dxa"/>
                            <w:gridSpan w:val="3"/>
                            <w:tcBorders/>
                            <w:tcMar>
                              <w:top w:w="0" w:type="dxa"/>
                              <w:left w:w="0" w:type="dxa"/>
                              <w:bottom w:w="0" w:type="dxa"/>
                              <w:right w:w="0" w:type="dxa"/>
                            </w:tcMar>
                            <w:vAlign w:val="center"/>
                          </w:tcPr>
                          <w:p>
                            <w:pPr>
                              <w:pStyle w:val="TableContents"/>
                              <w:bidi w:val="0"/>
                              <w:spacing w:lineRule="auto" w:line="288" w:before="28" w:after="283"/>
                              <w:jc w:val="left"/>
                              <w:rPr>
                                <w:rFonts w:ascii="Arial;sans-serif" w:hAnsi="Arial;sans-serif"/>
                                <w:b w:val="false"/>
                                <w:color w:val="164B9E"/>
                                <w:sz w:val="16"/>
                              </w:rPr>
                            </w:pPr>
                            <w:r>
                              <w:rPr>
                                <w:rFonts w:ascii="Arial;sans-serif" w:hAnsi="Arial;sans-serif"/>
                                <w:b w:val="false"/>
                                <w:color w:val="164B9E"/>
                                <w:sz w:val="16"/>
                              </w:rPr>
                              <w:t>Steubenville, OH 43952</w:t>
                            </w:r>
                          </w:p>
                        </w:tc>
                      </w:tr>
                      <w:tr>
                        <w:trPr/>
                        <w:tc>
                          <w:tcPr>
                            <w:tcW w:w="2519" w:type="dxa"/>
                            <w:gridSpan w:val="3"/>
                            <w:tcBorders/>
                            <w:tcMar>
                              <w:top w:w="0" w:type="dxa"/>
                              <w:left w:w="0" w:type="dxa"/>
                              <w:bottom w:w="0" w:type="dxa"/>
                              <w:right w:w="0" w:type="dxa"/>
                            </w:tcMar>
                            <w:vAlign w:val="center"/>
                          </w:tcPr>
                          <w:p>
                            <w:pPr>
                              <w:pStyle w:val="TableContents"/>
                              <w:bidi w:val="0"/>
                              <w:spacing w:lineRule="atLeast" w:line="164" w:before="28" w:after="283"/>
                              <w:jc w:val="left"/>
                              <w:rPr>
                                <w:rFonts w:ascii="Arial;sans-serif" w:hAnsi="Arial;sans-serif"/>
                                <w:b w:val="false"/>
                                <w:color w:val="164B9E"/>
                                <w:sz w:val="16"/>
                              </w:rPr>
                            </w:pPr>
                            <w:r>
                              <w:rPr>
                                <w:rFonts w:ascii="Arial;sans-serif" w:hAnsi="Arial;sans-serif"/>
                                <w:b w:val="false"/>
                                <w:color w:val="164B9E"/>
                                <w:sz w:val="16"/>
                              </w:rPr>
                              <w:t>(724) 934-0344</w:t>
                            </w:r>
                          </w:p>
                        </w:tc>
                        <w:tc>
                          <w:tcPr>
                            <w:tcW w:w="2580" w:type="dxa"/>
                            <w:gridSpan w:val="3"/>
                            <w:tcBorders/>
                            <w:tcMar>
                              <w:top w:w="0" w:type="dxa"/>
                              <w:left w:w="0" w:type="dxa"/>
                              <w:bottom w:w="0" w:type="dxa"/>
                              <w:right w:w="0" w:type="dxa"/>
                            </w:tcMar>
                            <w:vAlign w:val="center"/>
                          </w:tcPr>
                          <w:p>
                            <w:pPr>
                              <w:pStyle w:val="TableContents"/>
                              <w:bidi w:val="0"/>
                              <w:spacing w:lineRule="atLeast" w:line="164" w:before="28" w:after="283"/>
                              <w:jc w:val="left"/>
                              <w:rPr>
                                <w:rFonts w:ascii="Arial;sans-serif" w:hAnsi="Arial;sans-serif"/>
                                <w:b w:val="false"/>
                                <w:color w:val="164B9E"/>
                                <w:sz w:val="16"/>
                              </w:rPr>
                            </w:pPr>
                            <w:r>
                              <w:rPr>
                                <w:rFonts w:ascii="Arial;sans-serif" w:hAnsi="Arial;sans-serif"/>
                                <w:b w:val="false"/>
                                <w:color w:val="164B9E"/>
                                <w:sz w:val="16"/>
                              </w:rPr>
                              <w:t>(610) 278-9800</w:t>
                            </w:r>
                          </w:p>
                        </w:tc>
                        <w:tc>
                          <w:tcPr>
                            <w:tcW w:w="1604" w:type="dxa"/>
                            <w:gridSpan w:val="3"/>
                            <w:tcBorders/>
                            <w:tcMar>
                              <w:top w:w="0" w:type="dxa"/>
                              <w:left w:w="0" w:type="dxa"/>
                              <w:bottom w:w="0" w:type="dxa"/>
                              <w:right w:w="0" w:type="dxa"/>
                            </w:tcMar>
                            <w:vAlign w:val="center"/>
                          </w:tcPr>
                          <w:p>
                            <w:pPr>
                              <w:pStyle w:val="TableContents"/>
                              <w:bidi w:val="0"/>
                              <w:spacing w:lineRule="atLeast" w:line="164" w:before="28" w:after="283"/>
                              <w:jc w:val="left"/>
                              <w:rPr>
                                <w:rFonts w:ascii="Arial;sans-serif" w:hAnsi="Arial;sans-serif"/>
                                <w:b w:val="false"/>
                                <w:color w:val="164B9E"/>
                                <w:sz w:val="16"/>
                              </w:rPr>
                            </w:pPr>
                            <w:r>
                              <w:rPr>
                                <w:rFonts w:ascii="Arial;sans-serif" w:hAnsi="Arial;sans-serif"/>
                                <w:b w:val="false"/>
                                <w:color w:val="164B9E"/>
                                <w:sz w:val="16"/>
                              </w:rPr>
                              <w:t>(304) 233-5030</w:t>
                            </w:r>
                          </w:p>
                        </w:tc>
                        <w:tc>
                          <w:tcPr>
                            <w:tcW w:w="1859" w:type="dxa"/>
                            <w:gridSpan w:val="3"/>
                            <w:tcBorders/>
                            <w:tcMar>
                              <w:top w:w="0" w:type="dxa"/>
                              <w:left w:w="0" w:type="dxa"/>
                              <w:bottom w:w="0" w:type="dxa"/>
                              <w:right w:w="0" w:type="dxa"/>
                            </w:tcMar>
                            <w:vAlign w:val="center"/>
                          </w:tcPr>
                          <w:p>
                            <w:pPr>
                              <w:pStyle w:val="TableContents"/>
                              <w:bidi w:val="0"/>
                              <w:spacing w:lineRule="atLeast" w:line="164" w:before="28" w:after="283"/>
                              <w:jc w:val="left"/>
                              <w:rPr>
                                <w:rFonts w:ascii="Arial;sans-serif" w:hAnsi="Arial;sans-serif"/>
                                <w:b w:val="false"/>
                                <w:color w:val="164B9E"/>
                                <w:sz w:val="16"/>
                              </w:rPr>
                            </w:pPr>
                            <w:r>
                              <w:rPr>
                                <w:rFonts w:ascii="Arial;sans-serif" w:hAnsi="Arial;sans-serif"/>
                                <w:b w:val="false"/>
                                <w:color w:val="164B9E"/>
                                <w:sz w:val="16"/>
                              </w:rPr>
                              <w:t>(304) 233-5030</w:t>
                            </w:r>
                          </w:p>
                        </w:tc>
                      </w:tr>
                    </w:tbl>
                    <w:p>
                      <w:pPr>
                        <w:pStyle w:val="TextBody"/>
                        <w:bidi w:val="0"/>
                        <w:spacing w:before="0" w:after="0"/>
                        <w:jc w:val="both"/>
                        <w:rPr/>
                      </w:pPr>
                      <w:r>
                        <w:rPr/>
                      </w:r>
                    </w:p>
                    <w:p>
                      <w:pPr>
                        <w:pStyle w:val="TextBody"/>
                        <w:bidi w:val="0"/>
                        <w:spacing w:lineRule="auto" w:line="288" w:before="0" w:after="0"/>
                        <w:ind w:left="0" w:right="0" w:firstLine="1980"/>
                        <w:jc w:val="left"/>
                        <w:rPr>
                          <w:rFonts w:ascii="Arial;sans-serif" w:hAnsi="Arial;sans-serif"/>
                          <w:b w:val="false"/>
                          <w:color w:val="164B9E"/>
                          <w:sz w:val="16"/>
                        </w:rPr>
                      </w:pPr>
                      <w:r>
                        <w:rPr>
                          <w:rFonts w:ascii="Arial;sans-serif" w:hAnsi="Arial;sans-serif"/>
                          <w:b w:val="false"/>
                          <w:color w:val="164B9E"/>
                          <w:sz w:val="16"/>
                        </w:rPr>
                        <w:t xml:space="preserve">S.R. Snodgrass, P.C. d/b/a S.R. Snodgrass, A.C. in West Virginia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PRO FORMA CONDENSED COMBINED CONSOLIDATED FINANCIAL INFORMATION</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consolidated financial information has been prepared using the acquisition method of accounting under the provisions of the Financial Accounting Standards Board ("FASB") Accounting Standards Codification, ASC 805 "Business Combinations", giving effect to Burke &amp; Herbert Financial Services Corp.’s (“Burke &amp; Herbert”) acquisition of LINKBANCORP, Inc. (“LNKB”). Under this method, LNKB's assets and liabilities as of the date of the merger will be recorded at their respective fair values and added to those of Burke &amp; Herbert. Any difference between the purchase price for LNKB and the fair value of the identifiable net assets acquired (including core deposit intangibles) will be recorded as goodwill. The goodwill resulting from the merger will not be amortized to expense, but instead will be reviewed for impairment at least annually. Any core deposit intangible and other intangible assets with estimated useful lives to be recorded by Burke &amp; Herbert in connection with the merger will be amortized to expense over their estimated useful lives. The financial statements of Burke &amp; Herbert issued after the merger will reflect the results attributable to the acquired operations of LNKB beginning on the date of completion of the merger. Effective at 12:01 A.M. Eastern Time on May 1, 2026 (the "Effective Time"), Burke &amp; Herbert, a Virginia corporation, completed its merger with LNKB, a Pennsylvania corporation, pursuant to the Agreement and Plan of Merger dated December 18, 2025 between Burke &amp; Herbert and LNKB (the “Merger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unaudited pro forma condensed combined consolidated financial information and accompanying notes are based on and should be read in conjunction with (i) the historical audited consolidated financial statements of Burke &amp; Herbert and accompanying notes included in Burke &amp; Herbert's Annual Report on Form 10-K for the year ended December 31, 2025, and (ii) the historical audited consolidated financial statements of LNKB and accompanying notes included in LNKB's Annual Report on Form 10-K for the year ended December 31, 2025, which are incorporated by reference herein.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pro forma condensed combined consolidated financial information is provided for illustrative information purposes only. The unaudited pro forma condensed combined financial information is not necessarily, and should not be assumed to be, an indication of the actual results that would have been achieved had the merger been completed as of the dates indicated or that may be achieved in the future. The unaudited pro forma condensed combined consolidated financial statements have been prepared in accordance with Article 11 of Regulation S-X, Pro Forma Information, which requires the depiction of the accounting for the transaction, which we refer to as transaction accounting adjustments.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Regulation S-X also allows for management adjustments that could include presentation of the reasonably estimable cost savings and revenue enhancements and other transaction effects that have occurred or are reasonably expected to occur. Please note the unaudited pro forma condensed combined consolidated financial information does not include management adjustments for any potential effects of changes in market conditions, revenue enhancements or expense efficiencies, or any post-closing sale of loans or deposits, among other factors.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unaudited pro forma condensed combined consolidated balance sheet as of December 31, 2025, combines the historical financial statements of Burke &amp; Herbert and LNKB and gives effect to the merger as if the merger occurred on December 31, 2025. The unaudited pro forma condensed combined consolidated income statement gives effect to the merger as if the merger occurred on January 1, 2025, for the twelve months ended December 31, 2025. Certain reclassification adjustments have been made to LNKB’s financial statements to conform to Burke &amp; Herbert's financial statement presentation.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pro forma condensed combined consolidated financial statements were prepared with Burke &amp; Herbert as the accounting acquirer and LNKB as the accounting acquiree under the acquisition method of accounting. Accordingly, the consideration paid by Burke &amp; Herbert to complete the merger of LNKB will be allocated to LNKB's assets and liabilities based upon their estimated fair values as of the date of completion of the merger. The allocation is dependent upon certain valuations and other studies that have been included in the unaudited condensed pro forma financial statements. The pro forma calculations, shown below, include a closing share price of $64.31, which represents the closing price of Burke &amp; Herbert's common stock on April 30, 2026, and a 5-day average share price of $64.35 used to pay fractional shares as agreed upon within the Merger Agreement, defined as the average of the closing sale prices of Burke &amp; Herbert common stock as reported on the Nasdaq Stock </w:t>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Market LLC (“Nasdaq”) for the consecutive five (5) full trading days ending on the third trading day immediately preceding (but not including) May 1,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2025, the FASB issued Accounting Standards Update (“ASU”) 2025-08, Financial Instruments — Credit Losses (Topic 326). ASU 2025-08 expands the use of the gross-up method to certain acquired loans, including purchased seasoned loans (“PSL”), which are loans acquired in a business combination or otherwise purchased after origination that do not meet the definition of purchased credit deterioration (“PCD”) assets. Under ASU 2025-08, the gross-up method also applies to acquired non-PCD loans that qualify as PSL. This eliminates the recognition of “day-one” credit loss expense and instead increases the amortized cost basis of such loans, affecting the pattern of interest income recognized in subsequent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ASU 2025-08 is effective for interim and annual periods in fiscal years beginning after December 15, 2026, and is applied prospectively. Burke &amp; Herbert early adopted this standard as of January 1, 2026, described in Note 1 of the Burke &amp; Herbert’s Form 10-Q for the three months ended March 31, 2026, filed with the SEC on May 8, 2026. Accordingly, the pro forma condensed combined financial information has been prepared in conformity with ASU 2025-08 and Burke &amp; Herbert’s accounting policies in effect as of March 31,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consolidated combined statements of income and earnings per share data do not include anticipated cost savings or revenue enhancements. Burke &amp; Herbert is continuing to assess the two companies’ personnel, benefits plans, premises, equipment, computer systems, and service contracts to determine where the companies may take advantage of redundancies or where it will be beneficial or necessary to convert to one system. Certain decisions arising from these assessments may involve canceling contracts between either Burke &amp; Herbert or LNKB and certain service providers. There is no assurance that the anticipated cost savings will be realized on the anticipated time schedule or at all.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pro forma combined basic and diluted earnings per share of Burke &amp; Herbert common stock are based on the pro forma combined net income per common share for Burke &amp; Herbert and LNKB divided by the pro forma basic or diluted common shares of the combined entities. The pro forma information includes adjustments related to the fair value of assets and liabilities of LNKB and is subject to adjustment in accordance with ASC 805 for facts and circumstances that existed as of the merger date as additional information becomes available and as final merger data analyses are performed.</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The unaudited pro forma data are qualified by the statements set forth under this caption and should not be considered indicative of the market value of Burke &amp; Herbert's common stock or the actual or future results of operations of Burke &amp; Herbert for any period. Actual results may be materially different than the pro forma information presented.</w:t>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Pro Forma Condensed Combined Balance Sheet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 FORMA CONDENSED COMBINED BALANCE SHEET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balance sheet as of December 31, 2025, is presented as if the merger had occurred on December 31, 2025.</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28"/>
        <w:gridCol w:w="541"/>
        <w:gridCol w:w="549"/>
        <w:gridCol w:w="109"/>
        <w:gridCol w:w="109"/>
        <w:gridCol w:w="109"/>
        <w:gridCol w:w="280"/>
        <w:gridCol w:w="1248"/>
        <w:gridCol w:w="156"/>
        <w:gridCol w:w="109"/>
        <w:gridCol w:w="109"/>
        <w:gridCol w:w="109"/>
        <w:gridCol w:w="245"/>
        <w:gridCol w:w="1092"/>
        <w:gridCol w:w="138"/>
        <w:gridCol w:w="109"/>
        <w:gridCol w:w="109"/>
        <w:gridCol w:w="109"/>
        <w:gridCol w:w="282"/>
        <w:gridCol w:w="1023"/>
        <w:gridCol w:w="156"/>
        <w:gridCol w:w="109"/>
        <w:gridCol w:w="109"/>
        <w:gridCol w:w="109"/>
        <w:gridCol w:w="167"/>
        <w:gridCol w:w="167"/>
        <w:gridCol w:w="168"/>
        <w:gridCol w:w="109"/>
        <w:gridCol w:w="109"/>
        <w:gridCol w:w="109"/>
        <w:gridCol w:w="212"/>
        <w:gridCol w:w="1041"/>
        <w:gridCol w:w="177"/>
      </w:tblGrid>
      <w:tr>
        <w:trPr/>
        <w:tc>
          <w:tcPr>
            <w:tcW w:w="92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Burke &amp; Herbert Financial Services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LINKBANCORP,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Transaction Accounting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Combined Pro Forma</w:t>
            </w:r>
          </w:p>
        </w:tc>
      </w:tr>
      <w:tr>
        <w:trPr/>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Reclassified)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Reclassified)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7"/>
              </w:rPr>
            </w:pPr>
            <w:r>
              <w:rPr>
                <w:rFonts w:ascii="Times New Roman;serif" w:hAnsi="Times New Roman;serif"/>
                <w:b/>
                <w:i/>
                <w:color w:val="000000"/>
                <w:sz w:val="17"/>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2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289,127 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52,293 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(41,080)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300,340 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Securities available for sale,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1,615,954 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262,620 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25,210 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1,903,784 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Securities held to maturity, at carrying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25,485 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(25,485)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Restricted stock,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42,187 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7,735 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49,922 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Loans held for sale,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Loans held for investment, net of deferred fees and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5,387,676 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2,556,729 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(21,528)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7,922,877 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Less: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(67,823)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(31,674)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(96,546)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loans held for investment,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5,319,853 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2,525,055 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(18,577)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7,826,331 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Premises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136,809 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15,957 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152,766 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real estate 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2,689 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34,149 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58,806 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103,141 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Amortizable intangibles,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41,747 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15,366 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32,854 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89,967 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Company-owned life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213,200 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53,708 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266,908 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224,546 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53,904 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[6]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277,534 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7,920,626 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3,070,929 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(17,808)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10,973,747 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7"/>
              </w:rPr>
            </w:pPr>
            <w:r>
              <w:rPr>
                <w:rFonts w:ascii="Times New Roman;serif" w:hAnsi="Times New Roman;serif"/>
                <w:b/>
                <w:i/>
                <w:color w:val="000000"/>
                <w:sz w:val="17"/>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Non-interest bearing demand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2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1,336,380 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603,728 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1,940,108 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5,067,561 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1,951,024 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7,018,793 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6,403,941 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2,554,752 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8,958,901 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short-term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75,000 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525,000 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40,000 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40,120 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Subordinated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87,490 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62,281 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149,568 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124,546 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32,464 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[6]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158,525 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7,065,977 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2,764,497 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9,832,114 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7"/>
              </w:rPr>
            </w:pPr>
            <w:r>
              <w:rPr>
                <w:rFonts w:ascii="Times New Roman;serif" w:hAnsi="Times New Roman;serif"/>
                <w:b/>
                <w:i/>
                <w:color w:val="000000"/>
                <w:sz w:val="17"/>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10,413 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10,341 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405,922 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266,090 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61,094 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733,106 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517,058 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42,300 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(85,041)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474,317 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(58,960)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(2,328)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(58,960)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(27,584)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(27,584)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854,649 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306,432 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(19,448)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1,141,633 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2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7,920,626 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3,070,929 </w:t>
            </w:r>
          </w:p>
        </w:tc>
        <w:tc>
          <w:tcPr>
            <w:tcW w:w="1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(17,808)</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10,973,747 </w:t>
            </w:r>
          </w:p>
        </w:tc>
        <w:tc>
          <w:tcPr>
            <w:tcW w:w="1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Pro Forma Condensed Combined Income Statement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Twelve Months Ended 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 FORMA CONDENSED COMBINED INCOME STATEMENT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income statement for the fiscal year ended December 31, 2025, presented as if the merger had occurred on January 1, 2025.</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52"/>
        <w:gridCol w:w="553"/>
        <w:gridCol w:w="558"/>
        <w:gridCol w:w="109"/>
        <w:gridCol w:w="109"/>
        <w:gridCol w:w="109"/>
        <w:gridCol w:w="300"/>
        <w:gridCol w:w="1126"/>
        <w:gridCol w:w="166"/>
        <w:gridCol w:w="109"/>
        <w:gridCol w:w="109"/>
        <w:gridCol w:w="109"/>
        <w:gridCol w:w="277"/>
        <w:gridCol w:w="1043"/>
        <w:gridCol w:w="156"/>
        <w:gridCol w:w="109"/>
        <w:gridCol w:w="109"/>
        <w:gridCol w:w="109"/>
        <w:gridCol w:w="342"/>
        <w:gridCol w:w="1028"/>
        <w:gridCol w:w="157"/>
        <w:gridCol w:w="109"/>
        <w:gridCol w:w="109"/>
        <w:gridCol w:w="109"/>
        <w:gridCol w:w="175"/>
        <w:gridCol w:w="175"/>
        <w:gridCol w:w="177"/>
        <w:gridCol w:w="109"/>
        <w:gridCol w:w="109"/>
        <w:gridCol w:w="109"/>
        <w:gridCol w:w="248"/>
        <w:gridCol w:w="851"/>
        <w:gridCol w:w="186"/>
      </w:tblGrid>
      <w:tr>
        <w:trPr/>
        <w:tc>
          <w:tcPr>
            <w:tcW w:w="105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Burke &amp; Herbert Financial Services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LINKBANCORP,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Transaction Accounting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Combined Pro Forma</w:t>
            </w:r>
          </w:p>
        </w:tc>
      </w:tr>
      <w:tr>
        <w:trPr/>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Reclassified)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Reclassified)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7"/>
              </w:rPr>
            </w:pPr>
            <w:r>
              <w:rPr>
                <w:rFonts w:ascii="Times New Roman;serif" w:hAnsi="Times New Roman;serif"/>
                <w:b/>
                <w:i/>
                <w:color w:val="000000"/>
                <w:sz w:val="17"/>
              </w:rPr>
              <w:t>Interest and dividend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and fees on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382,974 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149,951 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535,579 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and dividends on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54,171 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64,482 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7,848 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12,481 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interest and dividend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444,993 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164,589 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2,960 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612,542 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7"/>
              </w:rPr>
            </w:pPr>
            <w:r>
              <w:rPr>
                <w:rFonts w:ascii="Times New Roman;serif" w:hAnsi="Times New Roman;serif"/>
                <w:b/>
                <w:i/>
                <w:color w:val="000000"/>
                <w:sz w:val="17"/>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on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121,969 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52,115 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174,398 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on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Short-term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16,585 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20,550 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[10]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14,636 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149,081 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60,299 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209,584 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295,912 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104,290 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2,756 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402,958 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11,794 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interest income after 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294,389 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96,121 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391,164 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7"/>
              </w:rPr>
            </w:pPr>
            <w:r>
              <w:rPr>
                <w:rFonts w:ascii="Times New Roman;serif" w:hAnsi="Times New Roman;serif"/>
                <w:b/>
                <w:i/>
                <w:color w:val="000000"/>
                <w:sz w:val="17"/>
              </w:rPr>
              <w:t>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from company-owned life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9,902 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Service charges and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8,197 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12,508 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Gain on sale of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Fiduciary and wealth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10,455 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10,455 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19,181 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15,832 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35,013 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46,110 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21,915 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68,025 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7"/>
              </w:rPr>
            </w:pPr>
            <w:r>
              <w:rPr>
                <w:rFonts w:ascii="Times New Roman;serif" w:hAnsi="Times New Roman;serif"/>
                <w:b/>
                <w:i/>
                <w:color w:val="000000"/>
                <w:sz w:val="17"/>
              </w:rPr>
              <w:t>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Salaries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101,962 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43,144 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145,106 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Premises and equipment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30,266 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43,556 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Core deposit intangible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15,553 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27,608 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Legal, accounting and consulting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7,496 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10,049 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FDIC and regulatory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3,904 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5,734 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36,380 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98,705 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non-interest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195,561 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75,433 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59,764 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330,758 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144,938 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42,603 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(59,110)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128,431 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27,632 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(12,413)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24,311 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117,306 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33,511 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(46,697)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104,120 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on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applicable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116,406 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33,511 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(46,697)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103,220 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Basic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Diluted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Basic weighted average number of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15,006,614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37,173,548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(32,090,943)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20,089,219 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Diluted weighted average number of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15,073,859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37,315,644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(32,233,039)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20,156,464 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13"/>
        </w:rPr>
      </w:pPr>
      <w:r>
        <w:rPr>
          <w:rFonts w:ascii="Times New Roman;serif" w:hAnsi="Times New Roman;serif"/>
          <w:b/>
          <w:color w:val="000000"/>
          <w:sz w:val="13"/>
        </w:rPr>
        <w:t>*LNKB average number and diluted were adjusted by the exchange ratio to calculate pro forma EPS calculations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UNAUDITED PRO FORMA CONDENSED COMBINED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in thousands, except share information)</w:t>
      </w:r>
    </w:p>
    <w:p>
      <w:pPr>
        <w:pStyle w:val="TextBody"/>
        <w:bidi w:val="0"/>
        <w:spacing w:before="0" w:after="0"/>
        <w:jc w:val="center"/>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1.Transaction Accounting Adjustments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the Effective Time, each share of LNKB common stock, par value $0.01 per share (“LNKB Common Stock”), outstanding immediately prior to the Effective Time, was converted into the right to receive 0.1350 shares (the “Exchange Ratio” and such shares the “Merger Consideration”) of Burke &amp; Herbert common stock, par value $0.50 per share (“Burke &amp; Herbert Common Stock”). Holders of LNKB common stock received cash in lieu of fractional shares. The merger is intended to be a tax-free reorganization under Section 368(a) of the Internal Revenue Code.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Merger Agreement, at or immediately prior to the Effective Time, each time-vesting restricted share of LNKB Common Stock granted under LNKB's equity incentive plans (the "LNKB Stock Plans") that was outstanding and unvested immediately prior to the Effective Time, fully vested and received the treatment set forth in the Merger Agreement applicable to shares of LNKB Common Stock, subject to applicable tax withholding as provided in the LNKB Stock Plans and applicable award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Also pursuant to the Merger Agreement, at or immediately prior to the Effective Time, each outstanding and unsettled restricted stock award granted in respect of LNKB Common Stock under the LNKB Stock Plans (each, an "LNKB RSU"), without any required action on the part of LNKB or any holder of such LNKB RSUs, fully vested (if unvested) and was canceled and automatically converted into the right to receive, with respect to each share of LNKB Common Stock underlying the LNKB RSU, the Merger Consideration, as if such LNKB RSU had been settled in shares of LNKB Common Stock immediately prior to the Effective Time, subject to applicable tax withholding as provided in the LNKB Stock Plans and applicable award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Merger Agreement, at the Effective Time, each stock option in respect of shares of LNKB Common Stock granted under the LNKB Stock Plans (each such stock option, an "LNKB Option") that was outstanding immediately prior to the Effective Time, was assumed by Burke &amp; Herbert (such LNKB Option, an "Assumed Option") and converted into a stock option exercisable for (subject to achievement of the applicable time-based vesting conditions based on service after the Closing Date to Burke &amp; Herbert) a number of shares of Burke &amp; Herbert Common Stock equal to the number of shares of LNKB Common Stock underlying the LNKB Option immediately prior to the Effective Time multiplied by the Exchange Ratio, rounded down to the nearest whole share, with an exercise price per share of Burke &amp; Herbert Common Stock equal to the exercise price applicable to the underlying LNKB Option immediately prior to the Effective Time divided by the Exchange Ratio, rounded up to the nearest cent. Each Assumed Option shall continue to have, and shall be subject to, the same terms and conditions as applied to the corresponding LNKB Option immediately prior to the Effective Time.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Merger Agreement, at the Effective Time, each warrant to acquire shares of LNKB Common Stock (each such warrant, an "LNKB Warrant") that was outstanding immediately prior to the Effective Time was converted into a warrant exercisable for a number of shares of Burke &amp; Herbert Common Stock equal to the number of shares of LNKB Common Stock underlying the LNKB Warrant immediately prior to the Effective Time multiplied by the Exchange Ratio, rounded down to the nearest whole share. Such warrants have an exercise price per share of Burke &amp; Herbert Common Stock equal to the exercise price applicable to the underlying LNKB Warrant immediately prior to the Effective Time divided by the Exchange Ratio, rounded up to the nearest cent, and will otherwise continue to have, and shall be subject to, the same terms and conditions as applied to the underlying LNKB Warrant immediately prior to the Effective Time.</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The total estimated fully diluted transaction value (inclusive of the implied value of outstanding in-the-money stock options) for the purpose of this pro forma financial information is approximately $329.7 million based on Burke &amp; Herbert’s closing price of $64.31 per share on April 30, 2026. The following is a summary of the fair value of assets acquired and liabilities assumed in the merger resulting in goodwill. Goodwill is created when the purchase price consideration exceeds the fair value of the net assets acquired. For purposes of this analysis as of December 31, 2025, goodwill of $69.0 million results from the transaction; however, the final purchase accounting analysis will be </w:t>
      </w: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performed as of the merger date and amounts therein are subject to change based on operations subsequent to December 31, 2025, as additional information becomes available and as additional analyses are performed.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preliminary pro forma allocation of the purchase price reflected in the pro forma condensed combined financial information is subject to adjustment and may vary from the actual purchase price allocation. Adjustments may include, but not be limited to, changes in (a) LNKB’s balance sheet and operating results through the Effective Time of the merger; (b) total merger-related costs if consummation and/or implementation costs vary from currently estimated amounts; and (c) the underlying values of assets and liabilities if market and credit conditions differ from current assumptions.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pro forma adjustments include the estimated purchase accounting entries to record the merger. The excess of the purchase price over the fair value of net assets acquired, net of deferred taxes, is allocated to goodwill. Estimated fair value adjustments included in the pro forma condensed combined financial information are based upon available information and certain assumptions considered reasonable as of the date of this filing, and may be revised as additional information becomes available.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preliminary pro forma allocation of the estimated consideration to be paid in the merger for LNKB common stock, based on the closing share price of Burke &amp; Herbert common stock of $64.31 on Nasdaq on April 30, 2026 to the acquired identifiable assets and liabilities assumed and the pro forma goodwill generated from the merger.</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78"/>
        <w:gridCol w:w="1329"/>
        <w:gridCol w:w="1335"/>
        <w:gridCol w:w="109"/>
        <w:gridCol w:w="109"/>
        <w:gridCol w:w="109"/>
        <w:gridCol w:w="286"/>
        <w:gridCol w:w="917"/>
        <w:gridCol w:w="154"/>
        <w:gridCol w:w="109"/>
        <w:gridCol w:w="109"/>
        <w:gridCol w:w="109"/>
        <w:gridCol w:w="453"/>
        <w:gridCol w:w="453"/>
        <w:gridCol w:w="458"/>
        <w:gridCol w:w="109"/>
        <w:gridCol w:w="109"/>
        <w:gridCol w:w="109"/>
        <w:gridCol w:w="170"/>
        <w:gridCol w:w="170"/>
        <w:gridCol w:w="171"/>
        <w:gridCol w:w="109"/>
        <w:gridCol w:w="109"/>
        <w:gridCol w:w="109"/>
        <w:gridCol w:w="256"/>
        <w:gridCol w:w="961"/>
        <w:gridCol w:w="206"/>
      </w:tblGrid>
      <w:tr>
        <w:trPr/>
        <w:tc>
          <w:tcPr>
            <w:tcW w:w="157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LNKB Book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LNKB Fair</w:t>
            </w:r>
          </w:p>
        </w:tc>
      </w:tr>
      <w:tr>
        <w:trPr/>
        <w:tc>
          <w:tcPr>
            <w:tcW w:w="4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Value</w:t>
            </w:r>
          </w:p>
        </w:tc>
      </w:tr>
      <w:tr>
        <w:trPr/>
        <w:tc>
          <w:tcPr>
            <w:tcW w:w="4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purchase price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329,725 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Recognized amounts of identifiable assets acquired and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52,293 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295,840 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(275)</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295,565 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Loans,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2,556,729 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(21,528)</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2,535,201 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(31,674)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2,951 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(28,723)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Loans, net of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2,525,055 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(18,577)</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2,506,478 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Premises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15,957 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Goodwill and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(25,952)</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48,220 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(1,357)</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106,255 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7"/>
              </w:rPr>
              <w:t>Total identifiable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3,070,929 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(46,161)</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3,024,768 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2,554,752 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208 </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2,554,960 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115,120 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Subordinated debentures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(203)</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62,078 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(587)</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31,877 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7"/>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2,764,497 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(462)</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2,764,035 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7"/>
              </w:rPr>
              <w:t>Total identifiable net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306,432 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(45,699)</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260,733 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Pro Forma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68,992 </w:t>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485" w:type="dxa"/>
        <w:jc w:val="left"/>
        <w:tblInd w:w="0" w:type="dxa"/>
        <w:tblLayout w:type="fixed"/>
        <w:tblCellMar>
          <w:top w:w="28" w:type="dxa"/>
          <w:left w:w="28" w:type="dxa"/>
          <w:bottom w:w="28" w:type="dxa"/>
          <w:right w:w="28" w:type="dxa"/>
        </w:tblCellMar>
      </w:tblPr>
      <w:tblGrid>
        <w:gridCol w:w="1309"/>
        <w:gridCol w:w="1149"/>
        <w:gridCol w:w="1156"/>
        <w:gridCol w:w="109"/>
        <w:gridCol w:w="109"/>
        <w:gridCol w:w="109"/>
        <w:gridCol w:w="299"/>
        <w:gridCol w:w="1010"/>
        <w:gridCol w:w="235"/>
      </w:tblGrid>
      <w:tr>
        <w:trPr/>
        <w:tc>
          <w:tcPr>
            <w:tcW w:w="13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(Dollars in thousands, except share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Purchase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shares of LINKBANCORP,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37,648,926 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shares to be exchanged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37,648,926 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Exchange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0.135 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Burke &amp; Herbert shares to be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5,082,605 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Price per share of Burke &amp; Herbert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64.31 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Purchase price consideration for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326,862 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Implied value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324 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Implied value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for fractional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Fully diluted transaction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329,725 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Pro Forma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10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68,992</w:t>
            </w:r>
            <w:r>
              <w:rPr>
                <w:color w:val="000000"/>
              </w:rPr>
              <w:t> </w:t>
            </w:r>
          </w:p>
        </w:tc>
        <w:tc>
          <w:tcPr>
            <w:tcW w:w="2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Adjustments to the Unaudited Pro Forma Condensed Combined Balance Sheet as of December 31, 2025 &amp; Adjustments to the Unaudited Pro Forma Condensed Combined Income Statement for the year ended December 31,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The Unaudited Pro Forma Condensed Combined Balance Sheet was adjusted to reflect the reversal of LNKB’s historical equity accounts, the purchase price considerations, and the fair value adjustments to record the necessary transaction accounting adjustments for common stock, additional paid in capital ("APIC"), retained earnings, and accumulated other comprehensive income ("AOCI").</w:t>
      </w:r>
    </w:p>
    <w:p>
      <w:pPr>
        <w:pStyle w:val="TextBody"/>
        <w:bidi w:val="0"/>
        <w:spacing w:before="0" w:after="0"/>
        <w:jc w:val="both"/>
        <w:rPr/>
      </w:pPr>
      <w:r>
        <w:rPr/>
      </w:r>
    </w:p>
    <w:tbl>
      <w:tblPr>
        <w:tblW w:w="8159" w:type="dxa"/>
        <w:jc w:val="left"/>
        <w:tblInd w:w="0" w:type="dxa"/>
        <w:tblLayout w:type="fixed"/>
        <w:tblCellMar>
          <w:top w:w="28" w:type="dxa"/>
          <w:left w:w="28" w:type="dxa"/>
          <w:bottom w:w="28" w:type="dxa"/>
          <w:right w:w="28" w:type="dxa"/>
        </w:tblCellMar>
      </w:tblPr>
      <w:tblGrid>
        <w:gridCol w:w="1771"/>
        <w:gridCol w:w="1555"/>
        <w:gridCol w:w="1564"/>
        <w:gridCol w:w="109"/>
        <w:gridCol w:w="109"/>
        <w:gridCol w:w="109"/>
        <w:gridCol w:w="250"/>
        <w:gridCol w:w="711"/>
        <w:gridCol w:w="109"/>
        <w:gridCol w:w="109"/>
        <w:gridCol w:w="109"/>
        <w:gridCol w:w="109"/>
        <w:gridCol w:w="282"/>
        <w:gridCol w:w="1041"/>
        <w:gridCol w:w="222"/>
      </w:tblGrid>
      <w:tr>
        <w:trPr/>
        <w:tc>
          <w:tcPr>
            <w:tcW w:w="1771"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Balance Sheet</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(Dollars in thousands, except share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Transaction accounting adjustment for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Reversal of LINKBANCORP's common stock to APIC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Number of Burke &amp; Herbert shares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5,082,605 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Par value of Burke &amp; Herbert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Par value of Burke &amp; Herbert shares issued for merger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2,541 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transaction accounting adjustment for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2,171 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Balance Sheet</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(Dollars in thousands, except share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Transaction accounting adjustment for APIC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Reclass LINKBANCORP's common stock to APIC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Reclass LINKBANCORP's retained earnings to APIC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42,300 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Reclass LINKBANCORP's AOCI to APIC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(2,328)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LINKBANCORP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37,648,926 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Exchange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Number of Burke &amp; Herbert shares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5,082,605 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Value assigned to Burke &amp; Herbert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Purchase price consideration for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326,862 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Implied value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Implied value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for fractional shares using 5 day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Less: par value of Burke &amp; Herbert common stock issued for merger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APIC adjustment for Burke &amp; Herbert shares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327,184 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Less: Existing LINKBANCORP Shareholder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(306,432)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adjustment to APIC for stock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20,752 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transaction accounting adjustment for APIC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61,094 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Balance Sheet</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Transaction accounting adjustment for 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Reversal of LINKBANCORP's retained earnings to APIC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(42,300)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UCL Day 2 provision (see note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(1,661)</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Merger cost adjustment (see note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(41,080)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transaction accounting adjustments for 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(85,041)</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Balance Sheet</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Transaction accounting adjustments for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Reversal of LINKBANCORP's AOCI to APIC</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2,328 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transaction accounting adjustment for AOCI</w:t>
            </w:r>
          </w:p>
        </w:tc>
        <w:tc>
          <w:tcPr>
            <w:tcW w:w="2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2,328 </w:t>
            </w:r>
          </w:p>
        </w:tc>
        <w:tc>
          <w:tcPr>
            <w:tcW w:w="2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 Merger Cost Adjustment: This adjustment represents the merger costs incurred after the Effective Time that impacted the balance sheet and the income statement. The adjustment impacting the balance sheet is an after-tax adjustment of $41.1 million which reduces our cash position and our retained earnings. The gross adjustment of $52.0 million is reflected on the income statement line item other expenses.</w:t>
      </w:r>
    </w:p>
    <w:p>
      <w:pPr>
        <w:pStyle w:val="TextBody"/>
        <w:bidi w:val="0"/>
        <w:spacing w:before="0" w:after="0"/>
        <w:jc w:val="both"/>
        <w:rPr/>
      </w:pPr>
      <w:r>
        <w:rPr/>
      </w:r>
    </w:p>
    <w:tbl>
      <w:tblPr>
        <w:tblW w:w="5512" w:type="dxa"/>
        <w:jc w:val="left"/>
        <w:tblInd w:w="0" w:type="dxa"/>
        <w:tblLayout w:type="fixed"/>
        <w:tblCellMar>
          <w:top w:w="28" w:type="dxa"/>
          <w:left w:w="28" w:type="dxa"/>
          <w:bottom w:w="28" w:type="dxa"/>
          <w:right w:w="28" w:type="dxa"/>
        </w:tblCellMar>
      </w:tblPr>
      <w:tblGrid>
        <w:gridCol w:w="656"/>
        <w:gridCol w:w="578"/>
        <w:gridCol w:w="580"/>
        <w:gridCol w:w="109"/>
        <w:gridCol w:w="109"/>
        <w:gridCol w:w="109"/>
        <w:gridCol w:w="308"/>
        <w:gridCol w:w="1020"/>
        <w:gridCol w:w="171"/>
        <w:gridCol w:w="109"/>
        <w:gridCol w:w="109"/>
        <w:gridCol w:w="109"/>
        <w:gridCol w:w="303"/>
        <w:gridCol w:w="1003"/>
        <w:gridCol w:w="239"/>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Income Statement</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Merger-related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52,000 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52,000 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4. Securities available-for-sale were recorded at fair value at December 31, 2025; therefore, no balance sheet adjustment is necessary. The income statement adjustment includes a prospective reclassification of existing available-for-sale (“AFS”) securities fair value adjustments of $(5.1) million that will be accreted into income based on the expected life of the securities. AFS income statement adjustment includes a reversal of $0.8 million of existing LNKB amortization.</w:t>
      </w:r>
    </w:p>
    <w:p>
      <w:pPr>
        <w:pStyle w:val="TextBody"/>
        <w:bidi w:val="0"/>
        <w:spacing w:before="0" w:after="0"/>
        <w:jc w:val="both"/>
        <w:rPr/>
      </w:pPr>
      <w:r>
        <w:rPr/>
      </w:r>
    </w:p>
    <w:tbl>
      <w:tblPr>
        <w:tblW w:w="6625" w:type="dxa"/>
        <w:jc w:val="left"/>
        <w:tblInd w:w="0" w:type="dxa"/>
        <w:tblLayout w:type="fixed"/>
        <w:tblCellMar>
          <w:top w:w="28" w:type="dxa"/>
          <w:left w:w="28" w:type="dxa"/>
          <w:bottom w:w="28" w:type="dxa"/>
          <w:right w:w="28" w:type="dxa"/>
        </w:tblCellMar>
      </w:tblPr>
      <w:tblGrid>
        <w:gridCol w:w="600"/>
        <w:gridCol w:w="530"/>
        <w:gridCol w:w="530"/>
        <w:gridCol w:w="530"/>
        <w:gridCol w:w="530"/>
        <w:gridCol w:w="534"/>
        <w:gridCol w:w="413"/>
        <w:gridCol w:w="857"/>
        <w:gridCol w:w="229"/>
        <w:gridCol w:w="109"/>
        <w:gridCol w:w="109"/>
        <w:gridCol w:w="109"/>
        <w:gridCol w:w="392"/>
        <w:gridCol w:w="843"/>
        <w:gridCol w:w="310"/>
      </w:tblGrid>
      <w:tr>
        <w:trPr/>
        <w:tc>
          <w:tcPr>
            <w:tcW w:w="60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Income Statement</w:t>
            </w:r>
          </w:p>
        </w:tc>
      </w:tr>
      <w:tr>
        <w:trPr/>
        <w:tc>
          <w:tcPr>
            <w:tcW w:w="32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(Dollars in thousands)</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r>
      <w:tr>
        <w:trPr/>
        <w:tc>
          <w:tcPr>
            <w:tcW w:w="325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Debt securities available for sale, at fair value</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266 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held to maturity (“HTM”) were recorded at amortized cost at December 31, 2025; therefore, the balance sheet requires a net fair value adjustment of $(665.8) thousand. The balance sheet also reflects a transfer of $25.2 million of the HTM securities to AFS. The income statement adjustment includes a prospective reclassification of fair value adjustment that will be accreted into income based on the expected life of the securities. Additionally, the income statement adjustment includes the interest rate mark accretion for the current AFS portfolio and reversal of existing LNKB amortization.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431"/>
        <w:gridCol w:w="2120"/>
        <w:gridCol w:w="2109"/>
        <w:gridCol w:w="109"/>
        <w:gridCol w:w="109"/>
        <w:gridCol w:w="109"/>
        <w:gridCol w:w="274"/>
        <w:gridCol w:w="1002"/>
        <w:gridCol w:w="152"/>
        <w:gridCol w:w="109"/>
        <w:gridCol w:w="109"/>
        <w:gridCol w:w="109"/>
        <w:gridCol w:w="420"/>
        <w:gridCol w:w="708"/>
        <w:gridCol w:w="335"/>
      </w:tblGrid>
      <w:tr>
        <w:trPr/>
        <w:tc>
          <w:tcPr>
            <w:tcW w:w="2431"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Income Statement</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Fair value adjustment on debt securities held-to-maturity, at amortized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(666)</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Reversal of existing credit marks on held-to-maturity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Debt securities held-to-maturity, at amortized cost moved to debt securities available-for-sale,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(25,210)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adjustment for HTM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(25,485)</w:t>
            </w:r>
          </w:p>
        </w:tc>
        <w:tc>
          <w:tcPr>
            <w:tcW w:w="1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40 </w:t>
            </w:r>
          </w:p>
        </w:tc>
        <w:tc>
          <w:tcPr>
            <w:tcW w:w="3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 Adjustment to loans reflects the estimated non-credit fair value mark on the portfolio of $55.2 million and estimated credit fair value mark related to PSL and PCD loans of $28.7 million, and reversal of purchase accounting marks, premiums, discounts and deferred fees and expenses $33.7 million. The accruing loan fair value adjustments will be substantially recognized over the expected life of the loans.</w:t>
      </w:r>
    </w:p>
    <w:tbl>
      <w:tblPr>
        <w:tblW w:w="8302" w:type="dxa"/>
        <w:jc w:val="left"/>
        <w:tblInd w:w="0" w:type="dxa"/>
        <w:tblLayout w:type="fixed"/>
        <w:tblCellMar>
          <w:top w:w="28" w:type="dxa"/>
          <w:left w:w="28" w:type="dxa"/>
          <w:bottom w:w="28" w:type="dxa"/>
          <w:right w:w="28" w:type="dxa"/>
        </w:tblCellMar>
      </w:tblPr>
      <w:tblGrid>
        <w:gridCol w:w="1664"/>
        <w:gridCol w:w="1467"/>
        <w:gridCol w:w="1473"/>
        <w:gridCol w:w="109"/>
        <w:gridCol w:w="109"/>
        <w:gridCol w:w="109"/>
        <w:gridCol w:w="286"/>
        <w:gridCol w:w="1054"/>
        <w:gridCol w:w="159"/>
        <w:gridCol w:w="109"/>
        <w:gridCol w:w="109"/>
        <w:gridCol w:w="109"/>
        <w:gridCol w:w="303"/>
        <w:gridCol w:w="1003"/>
        <w:gridCol w:w="239"/>
      </w:tblGrid>
      <w:tr>
        <w:trPr/>
        <w:tc>
          <w:tcPr>
            <w:tcW w:w="1664"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Income Statement</w:t>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Fair value adjustments on loans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PSL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(50,574)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12,644 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PCD loans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(4,606)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1,152 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fair value adjustments for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(55,180)</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13,796 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Reversal of deferred loan fees &amp; purchase accounting marks,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33,652 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(11,142)</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adjustment to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(21,528)</w:t>
            </w:r>
          </w:p>
        </w:tc>
        <w:tc>
          <w:tcPr>
            <w:tcW w:w="1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2,654 </w:t>
            </w:r>
          </w:p>
        </w:tc>
        <w:tc>
          <w:tcPr>
            <w:tcW w:w="2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6. Allowance for credit losses was adjusted under ASC 326 to reverse LNKB’s existing allowance for credit losses of $31.7 million and reflect our estimate of expected credit losses. This includes an adjustment for acquired PSL and PCD loans of $28.7 million. A Day 2 adjustment for the unfunded ACL of $(2.1) million is also included in this note, which increases the Other liabilities line item on the Pro Forma Condensed Combined Balance Sheet.</w:t>
      </w:r>
    </w:p>
    <w:p>
      <w:pPr>
        <w:pStyle w:val="TextBody"/>
        <w:bidi w:val="0"/>
        <w:spacing w:before="0" w:after="0"/>
        <w:jc w:val="both"/>
        <w:rPr/>
      </w:pPr>
      <w:r>
        <w:rPr/>
      </w:r>
    </w:p>
    <w:tbl>
      <w:tblPr>
        <w:tblW w:w="7326" w:type="dxa"/>
        <w:jc w:val="left"/>
        <w:tblInd w:w="0" w:type="dxa"/>
        <w:tblLayout w:type="fixed"/>
        <w:tblCellMar>
          <w:top w:w="28" w:type="dxa"/>
          <w:left w:w="28" w:type="dxa"/>
          <w:bottom w:w="28" w:type="dxa"/>
          <w:right w:w="28" w:type="dxa"/>
        </w:tblCellMar>
      </w:tblPr>
      <w:tblGrid>
        <w:gridCol w:w="1312"/>
        <w:gridCol w:w="1157"/>
        <w:gridCol w:w="1160"/>
        <w:gridCol w:w="109"/>
        <w:gridCol w:w="109"/>
        <w:gridCol w:w="109"/>
        <w:gridCol w:w="308"/>
        <w:gridCol w:w="1020"/>
        <w:gridCol w:w="171"/>
        <w:gridCol w:w="109"/>
        <w:gridCol w:w="109"/>
        <w:gridCol w:w="109"/>
        <w:gridCol w:w="399"/>
        <w:gridCol w:w="828"/>
        <w:gridCol w:w="317"/>
      </w:tblGrid>
      <w:tr>
        <w:trPr/>
        <w:tc>
          <w:tcPr>
            <w:tcW w:w="1312"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Income Statement</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Reversal of existing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31,674 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CECL ACL Gross-up for PSL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(16,784)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CECL ACL Gross-up for PCD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(11,939)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adjustment to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2,951 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Adjustment to ACL on unfunded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(2,102)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tax asset impact (included in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Retained earnings impact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(1,661)</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7. A balance sheet adjustment to intangible assets was made to reverse the existing core deposit intangible (“CDI”) on LNKB's balance sheet of $15.4 million and record the acquired CDI fair value of $48.2 million. The pro forma condensed income statement adjustment reflects the acquired CDI amortization and related amortization adjustment based upon an expected life of seven years using the sum of the years digits method and the reversal of the existing CDI amortization reflected in the LNKB stand-alone income statement.</w:t>
      </w:r>
    </w:p>
    <w:p>
      <w:pPr>
        <w:pStyle w:val="TextBody"/>
        <w:bidi w:val="0"/>
        <w:spacing w:before="0" w:after="0"/>
        <w:jc w:val="both"/>
        <w:rPr/>
      </w:pPr>
      <w:r>
        <w:rPr/>
      </w:r>
    </w:p>
    <w:tbl>
      <w:tblPr>
        <w:tblW w:w="5407" w:type="dxa"/>
        <w:jc w:val="left"/>
        <w:tblInd w:w="0" w:type="dxa"/>
        <w:tblLayout w:type="fixed"/>
        <w:tblCellMar>
          <w:top w:w="28" w:type="dxa"/>
          <w:left w:w="28" w:type="dxa"/>
          <w:bottom w:w="28" w:type="dxa"/>
          <w:right w:w="28" w:type="dxa"/>
        </w:tblCellMar>
      </w:tblPr>
      <w:tblGrid>
        <w:gridCol w:w="618"/>
        <w:gridCol w:w="545"/>
        <w:gridCol w:w="547"/>
        <w:gridCol w:w="109"/>
        <w:gridCol w:w="109"/>
        <w:gridCol w:w="109"/>
        <w:gridCol w:w="308"/>
        <w:gridCol w:w="1020"/>
        <w:gridCol w:w="171"/>
        <w:gridCol w:w="109"/>
        <w:gridCol w:w="109"/>
        <w:gridCol w:w="109"/>
        <w:gridCol w:w="333"/>
        <w:gridCol w:w="949"/>
        <w:gridCol w:w="262"/>
      </w:tblGrid>
      <w:tr>
        <w:trPr/>
        <w:tc>
          <w:tcPr>
            <w:tcW w:w="61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Income Statement</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CDI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32,854 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7,764 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8. The balance sheet adjustment reflects the net deferred tax asset, at an effective tax rate of 21%, related to the fair value purchase accounting adjustments along with the tax impact related to the recording of the CDI.</w:t>
      </w:r>
    </w:p>
    <w:p>
      <w:pPr>
        <w:pStyle w:val="TextBody"/>
        <w:bidi w:val="0"/>
        <w:spacing w:before="0" w:after="0"/>
        <w:jc w:val="both"/>
        <w:rPr/>
      </w:pPr>
      <w:r>
        <w:rPr/>
      </w:r>
    </w:p>
    <w:tbl>
      <w:tblPr>
        <w:tblW w:w="6171" w:type="dxa"/>
        <w:jc w:val="left"/>
        <w:tblInd w:w="0" w:type="dxa"/>
        <w:tblLayout w:type="fixed"/>
        <w:tblCellMar>
          <w:top w:w="28" w:type="dxa"/>
          <w:left w:w="28" w:type="dxa"/>
          <w:bottom w:w="28" w:type="dxa"/>
          <w:right w:w="28" w:type="dxa"/>
        </w:tblCellMar>
      </w:tblPr>
      <w:tblGrid>
        <w:gridCol w:w="894"/>
        <w:gridCol w:w="789"/>
        <w:gridCol w:w="791"/>
        <w:gridCol w:w="109"/>
        <w:gridCol w:w="109"/>
        <w:gridCol w:w="109"/>
        <w:gridCol w:w="286"/>
        <w:gridCol w:w="1054"/>
        <w:gridCol w:w="159"/>
        <w:gridCol w:w="109"/>
        <w:gridCol w:w="109"/>
        <w:gridCol w:w="109"/>
        <w:gridCol w:w="399"/>
        <w:gridCol w:w="828"/>
        <w:gridCol w:w="317"/>
      </w:tblGrid>
      <w:tr>
        <w:trPr/>
        <w:tc>
          <w:tcPr>
            <w:tcW w:w="894"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Income Statement</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Deferred tax asset impact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Fair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(26,394)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Recording of CDI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32,854 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Items subject to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6,460 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 impact (using a 21%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1,357 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9. The balance sheet and income statement adjustments reflect the fair values of certain interest-bearing time deposit liabilities based on current interest rates for similar instruments. The fair value adjustment will be accreted over one year. The income statement adjustment also includes the elimination of fair value adjustments from LNKB’s prior acquisitions. </w:t>
      </w:r>
    </w:p>
    <w:tbl>
      <w:tblPr>
        <w:tblW w:w="5408" w:type="dxa"/>
        <w:jc w:val="left"/>
        <w:tblInd w:w="0" w:type="dxa"/>
        <w:tblLayout w:type="fixed"/>
        <w:tblCellMar>
          <w:top w:w="28" w:type="dxa"/>
          <w:left w:w="28" w:type="dxa"/>
          <w:bottom w:w="28" w:type="dxa"/>
          <w:right w:w="28" w:type="dxa"/>
        </w:tblCellMar>
      </w:tblPr>
      <w:tblGrid>
        <w:gridCol w:w="618"/>
        <w:gridCol w:w="545"/>
        <w:gridCol w:w="547"/>
        <w:gridCol w:w="109"/>
        <w:gridCol w:w="109"/>
        <w:gridCol w:w="109"/>
        <w:gridCol w:w="404"/>
        <w:gridCol w:w="871"/>
        <w:gridCol w:w="224"/>
        <w:gridCol w:w="109"/>
        <w:gridCol w:w="109"/>
        <w:gridCol w:w="109"/>
        <w:gridCol w:w="392"/>
        <w:gridCol w:w="843"/>
        <w:gridCol w:w="310"/>
      </w:tblGrid>
      <w:tr>
        <w:trPr/>
        <w:tc>
          <w:tcPr>
            <w:tcW w:w="61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Income Statement</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Time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208 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314 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10. The balance sheet and income statement adjustments reflect the fair values of borrowings based on current interest rates for similar instruments. The fair value adjustment will be amortized over one year.</w:t>
      </w:r>
    </w:p>
    <w:tbl>
      <w:tblPr>
        <w:tblW w:w="5078" w:type="dxa"/>
        <w:jc w:val="left"/>
        <w:tblInd w:w="0" w:type="dxa"/>
        <w:tblLayout w:type="fixed"/>
        <w:tblCellMar>
          <w:top w:w="28" w:type="dxa"/>
          <w:left w:w="28" w:type="dxa"/>
          <w:bottom w:w="28" w:type="dxa"/>
          <w:right w:w="28" w:type="dxa"/>
        </w:tblCellMar>
      </w:tblPr>
      <w:tblGrid>
        <w:gridCol w:w="315"/>
        <w:gridCol w:w="278"/>
        <w:gridCol w:w="278"/>
        <w:gridCol w:w="278"/>
        <w:gridCol w:w="278"/>
        <w:gridCol w:w="280"/>
        <w:gridCol w:w="404"/>
        <w:gridCol w:w="871"/>
        <w:gridCol w:w="224"/>
        <w:gridCol w:w="109"/>
        <w:gridCol w:w="109"/>
        <w:gridCol w:w="109"/>
        <w:gridCol w:w="392"/>
        <w:gridCol w:w="843"/>
        <w:gridCol w:w="310"/>
      </w:tblGrid>
      <w:tr>
        <w:trPr/>
        <w:tc>
          <w:tcPr>
            <w:tcW w:w="31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Income Statement</w:t>
            </w:r>
          </w:p>
        </w:tc>
      </w:tr>
      <w:tr>
        <w:trPr/>
        <w:tc>
          <w:tcPr>
            <w:tcW w:w="17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(Dollars in thousands)</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r>
      <w:tr>
        <w:trPr/>
        <w:tc>
          <w:tcPr>
            <w:tcW w:w="170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Borrowings</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11. Subordinated debt was adjusted to reflect the fair value adjustments based on current interest rates for similar instruments. This fair value adjustment will be amortized based upon the maturities of these liabilities. The income statement adjustment reflects the amortization adjustment based upon an expected life of seven years and the reversal of the existing amortization reflected in the LNKB stand-alone income statement.</w:t>
      </w:r>
    </w:p>
    <w:tbl>
      <w:tblPr>
        <w:tblW w:w="5408" w:type="dxa"/>
        <w:jc w:val="left"/>
        <w:tblInd w:w="0" w:type="dxa"/>
        <w:tblLayout w:type="fixed"/>
        <w:tblCellMar>
          <w:top w:w="28" w:type="dxa"/>
          <w:left w:w="28" w:type="dxa"/>
          <w:bottom w:w="28" w:type="dxa"/>
          <w:right w:w="28" w:type="dxa"/>
        </w:tblCellMar>
      </w:tblPr>
      <w:tblGrid>
        <w:gridCol w:w="618"/>
        <w:gridCol w:w="545"/>
        <w:gridCol w:w="547"/>
        <w:gridCol w:w="109"/>
        <w:gridCol w:w="109"/>
        <w:gridCol w:w="109"/>
        <w:gridCol w:w="366"/>
        <w:gridCol w:w="929"/>
        <w:gridCol w:w="204"/>
        <w:gridCol w:w="109"/>
        <w:gridCol w:w="109"/>
        <w:gridCol w:w="109"/>
        <w:gridCol w:w="381"/>
        <w:gridCol w:w="861"/>
        <w:gridCol w:w="303"/>
      </w:tblGrid>
      <w:tr>
        <w:trPr/>
        <w:tc>
          <w:tcPr>
            <w:tcW w:w="61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Income Statement</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Subordinated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(203)</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(230)</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12. Adjustment to reflect a credit mark on unfunded commitments of $1.9 million and a reversal of $2.5 million current LNKB ACL on unfunded commitments for a net impact of $(587.0) thousand.</w:t>
      </w:r>
    </w:p>
    <w:p>
      <w:pPr>
        <w:pStyle w:val="TextBody"/>
        <w:bidi w:val="0"/>
        <w:spacing w:before="0" w:after="0"/>
        <w:jc w:val="both"/>
        <w:rPr/>
      </w:pPr>
      <w:r>
        <w:rPr/>
      </w:r>
    </w:p>
    <w:tbl>
      <w:tblPr>
        <w:tblW w:w="7537" w:type="dxa"/>
        <w:jc w:val="left"/>
        <w:tblInd w:w="0" w:type="dxa"/>
        <w:tblLayout w:type="fixed"/>
        <w:tblCellMar>
          <w:top w:w="28" w:type="dxa"/>
          <w:left w:w="28" w:type="dxa"/>
          <w:bottom w:w="28" w:type="dxa"/>
          <w:right w:w="28" w:type="dxa"/>
        </w:tblCellMar>
      </w:tblPr>
      <w:tblGrid>
        <w:gridCol w:w="1387"/>
        <w:gridCol w:w="1224"/>
        <w:gridCol w:w="1228"/>
        <w:gridCol w:w="109"/>
        <w:gridCol w:w="109"/>
        <w:gridCol w:w="109"/>
        <w:gridCol w:w="314"/>
        <w:gridCol w:w="1012"/>
        <w:gridCol w:w="174"/>
        <w:gridCol w:w="109"/>
        <w:gridCol w:w="109"/>
        <w:gridCol w:w="109"/>
        <w:gridCol w:w="399"/>
        <w:gridCol w:w="828"/>
        <w:gridCol w:w="317"/>
      </w:tblGrid>
      <w:tr>
        <w:trPr/>
        <w:tc>
          <w:tcPr>
            <w:tcW w:w="1387"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Income Statement</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Reversal of existing unfunded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(2,507)</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Fair value adjustment for unfunded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1,920 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unfunded commitments fair value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(587)</w:t>
            </w:r>
          </w:p>
        </w:tc>
        <w:tc>
          <w:tcPr>
            <w:tcW w:w="1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13. The pro forma weighted average share calculations have been performed for the year ended December 31, 2025, using the historical weighted average shares outstanding, and the issuance of additional shares in connection with the merger, assuming it occurred at the beginning of each period presented. As the merger is being reflected as if it has occurred at the beginning of the period presented, the calculation of weighted average shares outstanding for both basic and diluted earnings per share assumes that the shares issuable relating to the merger have been outstanding for the entire periods presented.</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756701/000119312526104211/lnkb-20251231.htm" TargetMode="External"/><Relationship Id="rId3" Type="http://schemas.openxmlformats.org/officeDocument/2006/relationships/hyperlink" Target="https://www.sec.gov/ix?doc=/Archives/edgar/data/1756701/000119312526104211/lnkb-20251231.htm" TargetMode="External"/><Relationship Id="rId4" Type="http://schemas.openxmlformats.org/officeDocument/2006/relationships/hyperlink" Target="https://www.sec.gov/ix?doc=/Archives/edgar/data/1756701/000119312526104211/lnkb-20251231.htm" TargetMode="External"/><Relationship Id="rId5" Type="http://schemas.openxmlformats.org/officeDocument/2006/relationships/hyperlink" Target="https://www.sec.gov/ix?doc=/Archives/edgar/data/1756701/000119312526104211/lnkb-20251231.htm" TargetMode="External"/><Relationship Id="rId6" Type="http://schemas.openxmlformats.org/officeDocument/2006/relationships/hyperlink" Target="https://www.sec.gov/ix?doc=/Archives/edgar/data/1756701/000119312526104211/lnkb-20251231.htm" TargetMode="External"/><Relationship Id="rId7" Type="http://schemas.openxmlformats.org/officeDocument/2006/relationships/hyperlink" Target="https://www.sec.gov/ix?doc=/Archives/edgar/data/1756701/000119312526104211/lnkb-20251231.htm"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5724</Words>
  <Characters>32139</Characters>
  <CharactersWithSpaces>37351</CharactersWithSpaces>
  <Paragraphs>962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