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 xml:space="preserve">FORM 10-Q </w:t>
      </w:r>
    </w:p>
    <w:p>
      <w:pPr>
        <w:pStyle w:val="TextBody"/>
        <w:bidi w:val="0"/>
        <w:spacing w:lineRule="auto" w:line="288" w:before="0" w:after="100"/>
        <w:jc w:val="left"/>
        <w:rPr>
          <w:rFonts w:ascii="Times New Roman;serif" w:hAnsi="Times New Roman;serif"/>
          <w:b/>
          <w:color w:val="000000"/>
          <w:sz w:val="20"/>
        </w:rPr>
      </w:pPr>
      <w:r>
        <w:rPr>
          <w:rFonts w:ascii="Times New Roman;serif" w:hAnsi="Times New Roman;serif"/>
          <w:b/>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417"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30"/>
              <w:jc w:val="both"/>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For the quarterly period ended June 30, 2026</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419" w:type="dxa"/>
            <w:gridSpan w:val="3"/>
            <w:tcBorders/>
            <w:tcMar>
              <w:top w:w="0" w:type="dxa"/>
              <w:left w:w="0" w:type="dxa"/>
              <w:bottom w:w="0" w:type="dxa"/>
              <w:right w:w="0" w:type="dxa"/>
            </w:tcMar>
            <w:vAlign w:val="center"/>
          </w:tcPr>
          <w:p>
            <w:pPr>
              <w:pStyle w:val="TableContents"/>
              <w:bidi w:val="0"/>
              <w:spacing w:lineRule="auto" w:line="288" w:before="0" w:after="30"/>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18"/>
              </w:rPr>
            </w:pPr>
            <w:r>
              <w:rPr>
                <w:rFonts w:ascii="Times New Roman;serif" w:hAnsi="Times New Roman;serif"/>
                <w:b/>
                <w:color w:val="000000"/>
                <w:sz w:val="18"/>
              </w:rPr>
              <w:t>For the transition period from                        to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001-41633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Burke &amp; Herbert Financial Services Corp. </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bl>
      <w:tblPr>
        <w:tblW w:w="8083" w:type="dxa"/>
        <w:jc w:val="left"/>
        <w:tblInd w:w="0" w:type="dxa"/>
        <w:tblLayout w:type="fixed"/>
        <w:tblCellMar>
          <w:top w:w="28" w:type="dxa"/>
          <w:left w:w="28" w:type="dxa"/>
          <w:bottom w:w="28" w:type="dxa"/>
          <w:right w:w="28" w:type="dxa"/>
        </w:tblCellMar>
      </w:tblPr>
      <w:tblGrid>
        <w:gridCol w:w="1549"/>
        <w:gridCol w:w="1360"/>
        <w:gridCol w:w="1380"/>
        <w:gridCol w:w="374"/>
        <w:gridCol w:w="374"/>
        <w:gridCol w:w="376"/>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Virginia</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92-0289417</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100 S. Fairfax Street, Alexandria, Virginia</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22314</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703-666-3555</w:t>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Securities registered pursuant to Section 12(b) of the Act: </w:t>
      </w:r>
    </w:p>
    <w:tbl>
      <w:tblPr>
        <w:tblW w:w="8046" w:type="dxa"/>
        <w:jc w:val="left"/>
        <w:tblInd w:w="0" w:type="dxa"/>
        <w:tblLayout w:type="fixed"/>
        <w:tblCellMar>
          <w:top w:w="28" w:type="dxa"/>
          <w:left w:w="28" w:type="dxa"/>
          <w:bottom w:w="28" w:type="dxa"/>
          <w:right w:w="28" w:type="dxa"/>
        </w:tblCellMar>
      </w:tblPr>
      <w:tblGrid>
        <w:gridCol w:w="1147"/>
        <w:gridCol w:w="1013"/>
        <w:gridCol w:w="1019"/>
        <w:gridCol w:w="109"/>
        <w:gridCol w:w="109"/>
        <w:gridCol w:w="109"/>
        <w:gridCol w:w="414"/>
        <w:gridCol w:w="414"/>
        <w:gridCol w:w="416"/>
        <w:gridCol w:w="109"/>
        <w:gridCol w:w="109"/>
        <w:gridCol w:w="109"/>
        <w:gridCol w:w="869"/>
        <w:gridCol w:w="869"/>
        <w:gridCol w:w="1231"/>
      </w:tblGrid>
      <w:tr>
        <w:trPr/>
        <w:tc>
          <w:tcPr>
            <w:tcW w:w="114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Exchange on which registered</w:t>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BHRB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tbl>
      <w:tblPr>
        <w:tblW w:w="4761"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89"/>
        <w:gridCol w:w="689"/>
        <w:gridCol w:w="692"/>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As of August 5, 2026, there were 20,187,033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05" w:type="dxa"/>
        <w:jc w:val="left"/>
        <w:tblInd w:w="0" w:type="dxa"/>
        <w:tblLayout w:type="fixed"/>
        <w:tblCellMar>
          <w:top w:w="28" w:type="dxa"/>
          <w:left w:w="28" w:type="dxa"/>
          <w:bottom w:w="28" w:type="dxa"/>
          <w:right w:w="28" w:type="dxa"/>
        </w:tblCellMar>
      </w:tblPr>
      <w:tblGrid>
        <w:gridCol w:w="2898"/>
        <w:gridCol w:w="2545"/>
        <w:gridCol w:w="2551"/>
        <w:gridCol w:w="149"/>
        <w:gridCol w:w="149"/>
        <w:gridCol w:w="213"/>
      </w:tblGrid>
      <w:tr>
        <w:trPr/>
        <w:tc>
          <w:tcPr>
            <w:tcW w:w="2898"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0">
              <w:r>
                <w:rPr>
                  <w:rStyle w:val="InternetLink"/>
                  <w:rFonts w:ascii="Times New Roman;serif" w:hAnsi="Times New Roman;serif"/>
                  <w:b/>
                  <w:color w:val="0000FF"/>
                  <w:sz w:val="20"/>
                  <w:u w:val="single"/>
                </w:rPr>
                <w:t>Part I - Financial Information</w:t>
              </w:r>
            </w:hyperlink>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b9c5802e33ec4b258c2b42fcff6434e5_10">
              <w:r>
                <w:rPr>
                  <w:rStyle w:val="InternetLink"/>
                  <w:rFonts w:ascii="Times New Roman;serif" w:hAnsi="Times New Roman;serif"/>
                  <w:b w:val="false"/>
                  <w:color w:val="0000FF"/>
                  <w:sz w:val="20"/>
                  <w:u w:val="single"/>
                </w:rPr>
                <w:t>1</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3">
              <w:r>
                <w:rPr>
                  <w:rStyle w:val="InternetLink"/>
                  <w:rFonts w:ascii="Times New Roman;serif" w:hAnsi="Times New Roman;serif"/>
                  <w:b w:val="false"/>
                  <w:color w:val="0000FF"/>
                  <w:sz w:val="20"/>
                  <w:u w:val="single"/>
                </w:rPr>
                <w:t>Item 1. Financial Statements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3">
              <w:r>
                <w:rPr>
                  <w:rStyle w:val="InternetLink"/>
                  <w:rFonts w:ascii="Times New Roman;serif" w:hAnsi="Times New Roman;serif"/>
                  <w:b w:val="false"/>
                  <w:color w:val="0000FF"/>
                  <w:sz w:val="20"/>
                  <w:u w:val="single"/>
                </w:rPr>
                <w:t>1</w:t>
              </w:r>
            </w:hyperlink>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88">
              <w:r>
                <w:rPr>
                  <w:rStyle w:val="InternetLink"/>
                  <w:rFonts w:ascii="Times New Roman;serif" w:hAnsi="Times New Roman;serif"/>
                  <w:b w:val="false"/>
                  <w:color w:val="0000FF"/>
                  <w:sz w:val="20"/>
                  <w:u w:val="single"/>
                </w:rPr>
                <w:t xml:space="preserve">Item 2. Management's Discussion and Analysis of Financial Condition and Results of Operations </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88">
              <w:r>
                <w:rPr>
                  <w:rStyle w:val="InternetLink"/>
                  <w:rFonts w:ascii="Times New Roman;serif" w:hAnsi="Times New Roman;serif"/>
                  <w:b w:val="false"/>
                  <w:color w:val="0000FF"/>
                  <w:sz w:val="20"/>
                  <w:u w:val="single"/>
                </w:rPr>
                <w:t>48</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06">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06">
              <w:r>
                <w:rPr>
                  <w:rStyle w:val="InternetLink"/>
                  <w:rFonts w:ascii="Times New Roman;serif" w:hAnsi="Times New Roman;serif"/>
                  <w:b w:val="false"/>
                  <w:color w:val="0000FF"/>
                  <w:sz w:val="20"/>
                  <w:u w:val="single"/>
                </w:rPr>
                <w:t>83</w:t>
              </w:r>
            </w:hyperlink>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09">
              <w:r>
                <w:rPr>
                  <w:rStyle w:val="InternetLink"/>
                  <w:rFonts w:ascii="Times New Roman;serif" w:hAnsi="Times New Roman;serif"/>
                  <w:b w:val="false"/>
                  <w:color w:val="0000FF"/>
                  <w:sz w:val="20"/>
                  <w:u w:val="single"/>
                </w:rPr>
                <w:t>Item 4. Controls and Procedures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09">
              <w:r>
                <w:rPr>
                  <w:rStyle w:val="InternetLink"/>
                  <w:rFonts w:ascii="Times New Roman;serif" w:hAnsi="Times New Roman;serif"/>
                  <w:b w:val="false"/>
                  <w:color w:val="0000FF"/>
                  <w:sz w:val="20"/>
                  <w:u w:val="single"/>
                </w:rPr>
                <w:t>85</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12">
              <w:r>
                <w:rPr>
                  <w:rStyle w:val="InternetLink"/>
                  <w:rFonts w:ascii="Times New Roman;serif" w:hAnsi="Times New Roman;serif"/>
                  <w:b/>
                  <w:color w:val="0000FF"/>
                  <w:sz w:val="20"/>
                  <w:u w:val="single"/>
                </w:rPr>
                <w:t>Part II -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12">
              <w:r>
                <w:rPr>
                  <w:rStyle w:val="InternetLink"/>
                  <w:rFonts w:ascii="Times New Roman;serif" w:hAnsi="Times New Roman;serif"/>
                  <w:b w:val="false"/>
                  <w:color w:val="0000FF"/>
                  <w:sz w:val="20"/>
                  <w:u w:val="single"/>
                </w:rPr>
                <w:t>86</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15">
              <w:r>
                <w:rPr>
                  <w:rStyle w:val="InternetLink"/>
                  <w:rFonts w:ascii="Times New Roman;serif" w:hAnsi="Times New Roman;serif"/>
                  <w:b w:val="false"/>
                  <w:color w:val="0000FF"/>
                  <w:sz w:val="20"/>
                  <w:u w:val="single"/>
                </w:rPr>
                <w:t>Item 1. Legal Proceedings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15">
              <w:r>
                <w:rPr>
                  <w:rStyle w:val="InternetLink"/>
                  <w:rFonts w:ascii="Times New Roman;serif" w:hAnsi="Times New Roman;serif"/>
                  <w:b w:val="false"/>
                  <w:color w:val="0000FF"/>
                  <w:sz w:val="20"/>
                  <w:u w:val="single"/>
                </w:rPr>
                <w:t>86</w:t>
              </w:r>
            </w:hyperlink>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18">
              <w:r>
                <w:rPr>
                  <w:rStyle w:val="InternetLink"/>
                  <w:rFonts w:ascii="Times New Roman;serif" w:hAnsi="Times New Roman;serif"/>
                  <w:b w:val="false"/>
                  <w:color w:val="0000FF"/>
                  <w:sz w:val="20"/>
                  <w:u w:val="single"/>
                </w:rPr>
                <w:t>Item 1A. Risk Factors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18">
              <w:r>
                <w:rPr>
                  <w:rStyle w:val="InternetLink"/>
                  <w:rFonts w:ascii="Times New Roman;serif" w:hAnsi="Times New Roman;serif"/>
                  <w:b w:val="false"/>
                  <w:color w:val="0000FF"/>
                  <w:sz w:val="20"/>
                  <w:u w:val="single"/>
                </w:rPr>
                <w:t>86</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21">
              <w:r>
                <w:rPr>
                  <w:rStyle w:val="InternetLink"/>
                  <w:rFonts w:ascii="Times New Roman;serif" w:hAnsi="Times New Roman;serif"/>
                  <w:b w:val="false"/>
                  <w:color w:val="0000FF"/>
                  <w:sz w:val="20"/>
                  <w:u w:val="single"/>
                </w:rPr>
                <w:t>Item 2. Unregistered Sales of Equity Securities and Use of Proceeds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21">
              <w:r>
                <w:rPr>
                  <w:rStyle w:val="InternetLink"/>
                  <w:rFonts w:ascii="Times New Roman;serif" w:hAnsi="Times New Roman;serif"/>
                  <w:b w:val="false"/>
                  <w:color w:val="0000FF"/>
                  <w:sz w:val="20"/>
                  <w:u w:val="single"/>
                </w:rPr>
                <w:t>86</w:t>
              </w:r>
            </w:hyperlink>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24">
              <w:r>
                <w:rPr>
                  <w:rStyle w:val="InternetLink"/>
                  <w:rFonts w:ascii="Times New Roman;serif" w:hAnsi="Times New Roman;serif"/>
                  <w:b w:val="false"/>
                  <w:color w:val="0000FF"/>
                  <w:sz w:val="20"/>
                  <w:u w:val="single"/>
                </w:rPr>
                <w:t>Item 3. Defaults Upon Senior Securities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24">
              <w:r>
                <w:rPr>
                  <w:rStyle w:val="InternetLink"/>
                  <w:rFonts w:ascii="Times New Roman;serif" w:hAnsi="Times New Roman;serif"/>
                  <w:b w:val="false"/>
                  <w:color w:val="0000FF"/>
                  <w:sz w:val="20"/>
                  <w:u w:val="single"/>
                </w:rPr>
                <w:t>86</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27">
              <w:r>
                <w:rPr>
                  <w:rStyle w:val="InternetLink"/>
                  <w:rFonts w:ascii="Times New Roman;serif" w:hAnsi="Times New Roman;serif"/>
                  <w:b w:val="false"/>
                  <w:color w:val="0000FF"/>
                  <w:sz w:val="20"/>
                  <w:u w:val="single"/>
                </w:rPr>
                <w:t>Item 4. Mine Safety Disclosures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27">
              <w:r>
                <w:rPr>
                  <w:rStyle w:val="InternetLink"/>
                  <w:rFonts w:ascii="Times New Roman;serif" w:hAnsi="Times New Roman;serif"/>
                  <w:b w:val="false"/>
                  <w:color w:val="0000FF"/>
                  <w:sz w:val="20"/>
                  <w:u w:val="single"/>
                </w:rPr>
                <w:t>86</w:t>
              </w:r>
            </w:hyperlink>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30">
              <w:r>
                <w:rPr>
                  <w:rStyle w:val="InternetLink"/>
                  <w:rFonts w:ascii="Times New Roman;serif" w:hAnsi="Times New Roman;serif"/>
                  <w:b w:val="false"/>
                  <w:color w:val="0000FF"/>
                  <w:sz w:val="20"/>
                  <w:u w:val="single"/>
                </w:rPr>
                <w:t>Item 5. Other Information</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30">
              <w:r>
                <w:rPr>
                  <w:rStyle w:val="InternetLink"/>
                  <w:rFonts w:ascii="Times New Roman;serif" w:hAnsi="Times New Roman;serif"/>
                  <w:b w:val="false"/>
                  <w:color w:val="0000FF"/>
                  <w:sz w:val="20"/>
                  <w:u w:val="single"/>
                </w:rPr>
                <w:t>86</w:t>
              </w:r>
            </w:hyperlink>
          </w:p>
        </w:tc>
      </w:tr>
      <w:tr>
        <w:trPr/>
        <w:tc>
          <w:tcPr>
            <w:tcW w:w="79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33">
              <w:r>
                <w:rPr>
                  <w:rStyle w:val="InternetLink"/>
                  <w:rFonts w:ascii="Times New Roman;serif" w:hAnsi="Times New Roman;serif"/>
                  <w:b w:val="false"/>
                  <w:color w:val="0000FF"/>
                  <w:sz w:val="20"/>
                  <w:u w:val="single"/>
                </w:rPr>
                <w:t>Item 6. Exhibits</w:t>
              </w:r>
            </w:hyperlink>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33">
              <w:r>
                <w:rPr>
                  <w:rStyle w:val="InternetLink"/>
                  <w:rFonts w:ascii="Times New Roman;serif" w:hAnsi="Times New Roman;serif"/>
                  <w:b w:val="false"/>
                  <w:color w:val="0000FF"/>
                  <w:sz w:val="20"/>
                  <w:u w:val="single"/>
                </w:rPr>
                <w:t>87</w:t>
              </w:r>
            </w:hyperlink>
          </w:p>
        </w:tc>
      </w:tr>
      <w:tr>
        <w:trPr/>
        <w:tc>
          <w:tcPr>
            <w:tcW w:w="79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36">
              <w:r>
                <w:rPr>
                  <w:rStyle w:val="InternetLink"/>
                  <w:rFonts w:ascii="Times New Roman;serif" w:hAnsi="Times New Roman;serif"/>
                  <w:b w:val="false"/>
                  <w:color w:val="0000FF"/>
                  <w:sz w:val="20"/>
                  <w:u w:val="single"/>
                </w:rPr>
                <w:t>Signatures</w:t>
              </w:r>
            </w:hyperlink>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36">
              <w:r>
                <w:rPr>
                  <w:rStyle w:val="InternetLink"/>
                  <w:rFonts w:ascii="Times New Roman;serif" w:hAnsi="Times New Roman;serif"/>
                  <w:b w:val="false"/>
                  <w:color w:val="0000FF"/>
                  <w:sz w:val="20"/>
                  <w:u w:val="single"/>
                </w:rPr>
                <w:t>88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Burke &amp; Herbert Financial Services Corp. Consolidated Financial Statements:</w:t>
      </w:r>
    </w:p>
    <w:tbl>
      <w:tblPr>
        <w:tblW w:w="10205" w:type="dxa"/>
        <w:jc w:val="left"/>
        <w:tblInd w:w="0" w:type="dxa"/>
        <w:tblLayout w:type="fixed"/>
        <w:tblCellMar>
          <w:top w:w="28" w:type="dxa"/>
          <w:left w:w="28" w:type="dxa"/>
          <w:bottom w:w="28" w:type="dxa"/>
          <w:right w:w="28" w:type="dxa"/>
        </w:tblCellMar>
      </w:tblPr>
      <w:tblGrid>
        <w:gridCol w:w="3532"/>
        <w:gridCol w:w="3072"/>
        <w:gridCol w:w="3089"/>
        <w:gridCol w:w="149"/>
        <w:gridCol w:w="149"/>
        <w:gridCol w:w="214"/>
      </w:tblGrid>
      <w:tr>
        <w:trPr/>
        <w:tc>
          <w:tcPr>
            <w:tcW w:w="3532" w:type="dxa"/>
            <w:tcBorders/>
            <w:vAlign w:val="center"/>
          </w:tcPr>
          <w:p>
            <w:pPr>
              <w:pStyle w:val="TableContents"/>
              <w:bidi w:val="0"/>
              <w:spacing w:before="0" w:after="283"/>
              <w:jc w:val="left"/>
              <w:rPr>
                <w:sz w:val="4"/>
                <w:szCs w:val="4"/>
              </w:rPr>
            </w:pPr>
            <w:r>
              <w:rPr>
                <w:sz w:val="4"/>
                <w:szCs w:val="4"/>
              </w:rPr>
            </w:r>
          </w:p>
        </w:tc>
        <w:tc>
          <w:tcPr>
            <w:tcW w:w="3072"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6">
              <w:r>
                <w:rPr>
                  <w:rStyle w:val="InternetLink"/>
                  <w:rFonts w:ascii="Times New Roman;serif" w:hAnsi="Times New Roman;serif"/>
                  <w:b w:val="false"/>
                  <w:color w:val="000080"/>
                  <w:sz w:val="20"/>
                  <w:u w:val="single"/>
                </w:rPr>
                <w:t xml:space="preserve">Consolidated Balance Sheets as of </w:t>
              </w:r>
            </w:hyperlink>
            <w:hyperlink w:anchor="ib9c5802e33ec4b258c2b42fcff6434e5_16">
              <w:r>
                <w:rPr>
                  <w:rStyle w:val="InternetLink"/>
                  <w:rFonts w:ascii="Times New Roman;serif" w:hAnsi="Times New Roman;serif"/>
                  <w:b w:val="false"/>
                  <w:color w:val="000080"/>
                  <w:sz w:val="20"/>
                  <w:u w:val="single"/>
                </w:rPr>
                <w:t>June</w:t>
              </w:r>
            </w:hyperlink>
            <w:hyperlink w:anchor="ib9c5802e33ec4b258c2b42fcff6434e5_16">
              <w:r>
                <w:rPr>
                  <w:rStyle w:val="InternetLink"/>
                  <w:rFonts w:ascii="Times New Roman;serif" w:hAnsi="Times New Roman;serif"/>
                  <w:b w:val="false"/>
                  <w:color w:val="000080"/>
                  <w:sz w:val="20"/>
                  <w:u w:val="single"/>
                </w:rPr>
                <w:t xml:space="preserve"> 30, 202</w:t>
              </w:r>
            </w:hyperlink>
            <w:hyperlink w:anchor="ib9c5802e33ec4b258c2b42fcff6434e5_16">
              <w:r>
                <w:rPr>
                  <w:rStyle w:val="InternetLink"/>
                  <w:rFonts w:ascii="Times New Roman;serif" w:hAnsi="Times New Roman;serif"/>
                  <w:b w:val="false"/>
                  <w:color w:val="000080"/>
                  <w:sz w:val="20"/>
                  <w:u w:val="single"/>
                </w:rPr>
                <w:t>6</w:t>
              </w:r>
            </w:hyperlink>
            <w:hyperlink w:anchor="ib9c5802e33ec4b258c2b42fcff6434e5_16">
              <w:r>
                <w:rPr>
                  <w:rStyle w:val="InternetLink"/>
                  <w:rFonts w:ascii="Times New Roman;serif" w:hAnsi="Times New Roman;serif"/>
                  <w:b w:val="false"/>
                  <w:color w:val="000080"/>
                  <w:sz w:val="20"/>
                  <w:u w:val="single"/>
                </w:rPr>
                <w:t xml:space="preserve"> (Unaudited), and December 31, 202</w:t>
              </w:r>
            </w:hyperlink>
            <w:hyperlink w:anchor="ib9c5802e33ec4b258c2b42fcff6434e5_16">
              <w:r>
                <w:rPr>
                  <w:rStyle w:val="InternetLink"/>
                  <w:rFonts w:ascii="Times New Roman;serif" w:hAnsi="Times New Roman;serif"/>
                  <w:b w:val="false"/>
                  <w:color w:val="000080"/>
                  <w:sz w:val="20"/>
                  <w:u w:val="single"/>
                </w:rPr>
                <w:t>5</w:t>
              </w:r>
            </w:hyperlink>
          </w:p>
        </w:tc>
        <w:tc>
          <w:tcPr>
            <w:tcW w:w="5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b9c5802e33ec4b258c2b42fcff6434e5_16">
              <w:r>
                <w:rPr>
                  <w:rStyle w:val="InternetLink"/>
                  <w:rFonts w:ascii="Times New Roman;serif" w:hAnsi="Times New Roman;serif"/>
                  <w:b w:val="false"/>
                  <w:color w:val="0000FF"/>
                  <w:sz w:val="20"/>
                  <w:u w:val="single"/>
                </w:rPr>
                <w:t>2</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19">
              <w:r>
                <w:rPr>
                  <w:rStyle w:val="InternetLink"/>
                  <w:rFonts w:ascii="Times New Roman;serif" w:hAnsi="Times New Roman;serif"/>
                  <w:b w:val="false"/>
                  <w:color w:val="000080"/>
                  <w:sz w:val="20"/>
                  <w:u w:val="single"/>
                </w:rPr>
                <w:t xml:space="preserve">Consolidated Statements of Income for the Three and </w:t>
              </w:r>
            </w:hyperlink>
            <w:hyperlink w:anchor="ib9c5802e33ec4b258c2b42fcff6434e5_19">
              <w:r>
                <w:rPr>
                  <w:rStyle w:val="InternetLink"/>
                  <w:rFonts w:ascii="Times New Roman;serif" w:hAnsi="Times New Roman;serif"/>
                  <w:b w:val="false"/>
                  <w:color w:val="000080"/>
                  <w:sz w:val="20"/>
                  <w:u w:val="single"/>
                </w:rPr>
                <w:t>Six</w:t>
              </w:r>
            </w:hyperlink>
            <w:hyperlink w:anchor="ib9c5802e33ec4b258c2b42fcff6434e5_19">
              <w:r>
                <w:rPr>
                  <w:rStyle w:val="InternetLink"/>
                  <w:rFonts w:ascii="Times New Roman;serif" w:hAnsi="Times New Roman;serif"/>
                  <w:b w:val="false"/>
                  <w:color w:val="000080"/>
                  <w:sz w:val="20"/>
                  <w:u w:val="single"/>
                </w:rPr>
                <w:t xml:space="preserve"> Months Ended </w:t>
              </w:r>
            </w:hyperlink>
            <w:hyperlink w:anchor="ib9c5802e33ec4b258c2b42fcff6434e5_19">
              <w:r>
                <w:rPr>
                  <w:rStyle w:val="InternetLink"/>
                  <w:rFonts w:ascii="Times New Roman;serif" w:hAnsi="Times New Roman;serif"/>
                  <w:b w:val="false"/>
                  <w:color w:val="000080"/>
                  <w:sz w:val="20"/>
                  <w:u w:val="single"/>
                </w:rPr>
                <w:t>June</w:t>
              </w:r>
            </w:hyperlink>
            <w:hyperlink w:anchor="ib9c5802e33ec4b258c2b42fcff6434e5_19">
              <w:r>
                <w:rPr>
                  <w:rStyle w:val="InternetLink"/>
                  <w:rFonts w:ascii="Times New Roman;serif" w:hAnsi="Times New Roman;serif"/>
                  <w:b w:val="false"/>
                  <w:color w:val="000080"/>
                  <w:sz w:val="20"/>
                  <w:u w:val="single"/>
                </w:rPr>
                <w:t xml:space="preserve"> 30, 202</w:t>
              </w:r>
            </w:hyperlink>
            <w:hyperlink w:anchor="ib9c5802e33ec4b258c2b42fcff6434e5_19">
              <w:r>
                <w:rPr>
                  <w:rStyle w:val="InternetLink"/>
                  <w:rFonts w:ascii="Times New Roman;serif" w:hAnsi="Times New Roman;serif"/>
                  <w:b w:val="false"/>
                  <w:color w:val="000080"/>
                  <w:sz w:val="20"/>
                  <w:u w:val="single"/>
                </w:rPr>
                <w:t>6</w:t>
              </w:r>
            </w:hyperlink>
            <w:hyperlink w:anchor="ib9c5802e33ec4b258c2b42fcff6434e5_19">
              <w:r>
                <w:rPr>
                  <w:rStyle w:val="InternetLink"/>
                  <w:rFonts w:ascii="Times New Roman;serif" w:hAnsi="Times New Roman;serif"/>
                  <w:b w:val="false"/>
                  <w:color w:val="000080"/>
                  <w:sz w:val="20"/>
                  <w:u w:val="single"/>
                </w:rPr>
                <w:t xml:space="preserve">, and </w:t>
              </w:r>
            </w:hyperlink>
            <w:hyperlink w:anchor="ib9c5802e33ec4b258c2b42fcff6434e5_19">
              <w:r>
                <w:rPr>
                  <w:rStyle w:val="InternetLink"/>
                  <w:rFonts w:ascii="Times New Roman;serif" w:hAnsi="Times New Roman;serif"/>
                  <w:b w:val="false"/>
                  <w:color w:val="000080"/>
                  <w:sz w:val="20"/>
                  <w:u w:val="single"/>
                </w:rPr>
                <w:t>June</w:t>
              </w:r>
            </w:hyperlink>
            <w:hyperlink w:anchor="ib9c5802e33ec4b258c2b42fcff6434e5_19">
              <w:r>
                <w:rPr>
                  <w:rStyle w:val="InternetLink"/>
                  <w:rFonts w:ascii="Times New Roman;serif" w:hAnsi="Times New Roman;serif"/>
                  <w:b w:val="false"/>
                  <w:color w:val="000080"/>
                  <w:sz w:val="20"/>
                  <w:u w:val="single"/>
                </w:rPr>
                <w:t xml:space="preserve"> 30, 202</w:t>
              </w:r>
            </w:hyperlink>
            <w:hyperlink w:anchor="ib9c5802e33ec4b258c2b42fcff6434e5_19">
              <w:r>
                <w:rPr>
                  <w:rStyle w:val="InternetLink"/>
                  <w:rFonts w:ascii="Times New Roman;serif" w:hAnsi="Times New Roman;serif"/>
                  <w:b w:val="false"/>
                  <w:color w:val="000080"/>
                  <w:sz w:val="20"/>
                  <w:u w:val="single"/>
                </w:rPr>
                <w:t>5</w:t>
              </w:r>
            </w:hyperlink>
            <w:hyperlink w:anchor="ib9c5802e33ec4b258c2b42fcff6434e5_19">
              <w:r>
                <w:rPr>
                  <w:rStyle w:val="InternetLink"/>
                  <w:rFonts w:ascii="Times New Roman;serif" w:hAnsi="Times New Roman;serif"/>
                  <w:b w:val="false"/>
                  <w:color w:val="000080"/>
                  <w:sz w:val="20"/>
                  <w:u w:val="single"/>
                </w:rPr>
                <w:t xml:space="preserve"> (Unaudited)</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19">
              <w:r>
                <w:rPr>
                  <w:rStyle w:val="InternetLink"/>
                  <w:rFonts w:ascii="Times New Roman;serif" w:hAnsi="Times New Roman;serif"/>
                  <w:b w:val="false"/>
                  <w:color w:val="0000FF"/>
                  <w:sz w:val="20"/>
                  <w:u w:val="single"/>
                </w:rPr>
                <w:t>3</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22">
              <w:r>
                <w:rPr>
                  <w:rStyle w:val="InternetLink"/>
                  <w:rFonts w:ascii="Times New Roman;serif" w:hAnsi="Times New Roman;serif"/>
                  <w:b w:val="false"/>
                  <w:color w:val="000080"/>
                  <w:sz w:val="20"/>
                  <w:u w:val="single"/>
                </w:rPr>
                <w:t xml:space="preserve">Consolidated Statements of Comprehensive Income for the Three and </w:t>
              </w:r>
            </w:hyperlink>
            <w:hyperlink w:anchor="ib9c5802e33ec4b258c2b42fcff6434e5_22">
              <w:r>
                <w:rPr>
                  <w:rStyle w:val="InternetLink"/>
                  <w:rFonts w:ascii="Times New Roman;serif" w:hAnsi="Times New Roman;serif"/>
                  <w:b w:val="false"/>
                  <w:color w:val="000080"/>
                  <w:sz w:val="20"/>
                  <w:u w:val="single"/>
                </w:rPr>
                <w:t>Six</w:t>
              </w:r>
            </w:hyperlink>
            <w:hyperlink w:anchor="ib9c5802e33ec4b258c2b42fcff6434e5_22">
              <w:r>
                <w:rPr>
                  <w:rStyle w:val="InternetLink"/>
                  <w:rFonts w:ascii="Times New Roman;serif" w:hAnsi="Times New Roman;serif"/>
                  <w:b w:val="false"/>
                  <w:color w:val="000080"/>
                  <w:sz w:val="20"/>
                  <w:u w:val="single"/>
                </w:rPr>
                <w:t xml:space="preserve"> Months Ended </w:t>
              </w:r>
            </w:hyperlink>
            <w:hyperlink w:anchor="ib9c5802e33ec4b258c2b42fcff6434e5_22">
              <w:r>
                <w:rPr>
                  <w:rStyle w:val="InternetLink"/>
                  <w:rFonts w:ascii="Times New Roman;serif" w:hAnsi="Times New Roman;serif"/>
                  <w:b w:val="false"/>
                  <w:color w:val="000080"/>
                  <w:sz w:val="20"/>
                  <w:u w:val="single"/>
                </w:rPr>
                <w:t>June</w:t>
              </w:r>
            </w:hyperlink>
            <w:hyperlink w:anchor="ib9c5802e33ec4b258c2b42fcff6434e5_22">
              <w:r>
                <w:rPr>
                  <w:rStyle w:val="InternetLink"/>
                  <w:rFonts w:ascii="Times New Roman;serif" w:hAnsi="Times New Roman;serif"/>
                  <w:b w:val="false"/>
                  <w:color w:val="000080"/>
                  <w:sz w:val="20"/>
                  <w:u w:val="single"/>
                </w:rPr>
                <w:t xml:space="preserve"> 30, 202</w:t>
              </w:r>
            </w:hyperlink>
            <w:hyperlink w:anchor="ib9c5802e33ec4b258c2b42fcff6434e5_22">
              <w:r>
                <w:rPr>
                  <w:rStyle w:val="InternetLink"/>
                  <w:rFonts w:ascii="Times New Roman;serif" w:hAnsi="Times New Roman;serif"/>
                  <w:b w:val="false"/>
                  <w:color w:val="000080"/>
                  <w:sz w:val="20"/>
                  <w:u w:val="single"/>
                </w:rPr>
                <w:t>6</w:t>
              </w:r>
            </w:hyperlink>
            <w:hyperlink w:anchor="ib9c5802e33ec4b258c2b42fcff6434e5_22">
              <w:r>
                <w:rPr>
                  <w:rStyle w:val="InternetLink"/>
                  <w:rFonts w:ascii="Times New Roman;serif" w:hAnsi="Times New Roman;serif"/>
                  <w:b w:val="false"/>
                  <w:color w:val="000080"/>
                  <w:sz w:val="20"/>
                  <w:u w:val="single"/>
                </w:rPr>
                <w:t xml:space="preserve">, and </w:t>
              </w:r>
            </w:hyperlink>
            <w:hyperlink w:anchor="ib9c5802e33ec4b258c2b42fcff6434e5_22">
              <w:r>
                <w:rPr>
                  <w:rStyle w:val="InternetLink"/>
                  <w:rFonts w:ascii="Times New Roman;serif" w:hAnsi="Times New Roman;serif"/>
                  <w:b w:val="false"/>
                  <w:color w:val="000080"/>
                  <w:sz w:val="20"/>
                  <w:u w:val="single"/>
                </w:rPr>
                <w:t>June</w:t>
              </w:r>
            </w:hyperlink>
            <w:hyperlink w:anchor="ib9c5802e33ec4b258c2b42fcff6434e5_22">
              <w:r>
                <w:rPr>
                  <w:rStyle w:val="InternetLink"/>
                  <w:rFonts w:ascii="Times New Roman;serif" w:hAnsi="Times New Roman;serif"/>
                  <w:b w:val="false"/>
                  <w:color w:val="000080"/>
                  <w:sz w:val="20"/>
                  <w:u w:val="single"/>
                </w:rPr>
                <w:t xml:space="preserve"> 30, 202</w:t>
              </w:r>
            </w:hyperlink>
            <w:hyperlink w:anchor="ib9c5802e33ec4b258c2b42fcff6434e5_22">
              <w:r>
                <w:rPr>
                  <w:rStyle w:val="InternetLink"/>
                  <w:rFonts w:ascii="Times New Roman;serif" w:hAnsi="Times New Roman;serif"/>
                  <w:b w:val="false"/>
                  <w:color w:val="000080"/>
                  <w:sz w:val="20"/>
                  <w:u w:val="single"/>
                </w:rPr>
                <w:t>5</w:t>
              </w:r>
            </w:hyperlink>
            <w:hyperlink w:anchor="ib9c5802e33ec4b258c2b42fcff6434e5_22">
              <w:r>
                <w:rPr>
                  <w:rStyle w:val="InternetLink"/>
                  <w:rFonts w:ascii="Times New Roman;serif" w:hAnsi="Times New Roman;serif"/>
                  <w:b w:val="false"/>
                  <w:color w:val="000080"/>
                  <w:sz w:val="20"/>
                  <w:u w:val="single"/>
                </w:rPr>
                <w:t xml:space="preserve"> (Unaudited)</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22">
              <w:r>
                <w:rPr>
                  <w:rStyle w:val="InternetLink"/>
                  <w:rFonts w:ascii="Times New Roman;serif" w:hAnsi="Times New Roman;serif"/>
                  <w:b w:val="false"/>
                  <w:color w:val="0000FF"/>
                  <w:sz w:val="20"/>
                  <w:u w:val="single"/>
                </w:rPr>
                <w:t>4</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25">
              <w:r>
                <w:rPr>
                  <w:rStyle w:val="InternetLink"/>
                  <w:rFonts w:ascii="Times New Roman;serif" w:hAnsi="Times New Roman;serif"/>
                  <w:b w:val="false"/>
                  <w:color w:val="000080"/>
                  <w:sz w:val="20"/>
                  <w:u w:val="single"/>
                </w:rPr>
                <w:t xml:space="preserve">Consolidated Statements of Changes in Shareholders’ Equity for the Three and </w:t>
              </w:r>
            </w:hyperlink>
            <w:hyperlink w:anchor="ib9c5802e33ec4b258c2b42fcff6434e5_25">
              <w:r>
                <w:rPr>
                  <w:rStyle w:val="InternetLink"/>
                  <w:rFonts w:ascii="Times New Roman;serif" w:hAnsi="Times New Roman;serif"/>
                  <w:b w:val="false"/>
                  <w:color w:val="000080"/>
                  <w:sz w:val="20"/>
                  <w:u w:val="single"/>
                </w:rPr>
                <w:t>Six</w:t>
              </w:r>
            </w:hyperlink>
            <w:hyperlink w:anchor="ib9c5802e33ec4b258c2b42fcff6434e5_25">
              <w:r>
                <w:rPr>
                  <w:rStyle w:val="InternetLink"/>
                  <w:rFonts w:ascii="Times New Roman;serif" w:hAnsi="Times New Roman;serif"/>
                  <w:b w:val="false"/>
                  <w:color w:val="000080"/>
                  <w:sz w:val="20"/>
                  <w:u w:val="single"/>
                </w:rPr>
                <w:t xml:space="preserve"> Months Ended </w:t>
              </w:r>
            </w:hyperlink>
            <w:hyperlink w:anchor="ib9c5802e33ec4b258c2b42fcff6434e5_25">
              <w:r>
                <w:rPr>
                  <w:rStyle w:val="InternetLink"/>
                  <w:rFonts w:ascii="Times New Roman;serif" w:hAnsi="Times New Roman;serif"/>
                  <w:b w:val="false"/>
                  <w:color w:val="000080"/>
                  <w:sz w:val="20"/>
                  <w:u w:val="single"/>
                </w:rPr>
                <w:t>June</w:t>
              </w:r>
            </w:hyperlink>
            <w:hyperlink w:anchor="ib9c5802e33ec4b258c2b42fcff6434e5_25">
              <w:r>
                <w:rPr>
                  <w:rStyle w:val="InternetLink"/>
                  <w:rFonts w:ascii="Times New Roman;serif" w:hAnsi="Times New Roman;serif"/>
                  <w:b w:val="false"/>
                  <w:color w:val="000080"/>
                  <w:sz w:val="20"/>
                  <w:u w:val="single"/>
                </w:rPr>
                <w:t xml:space="preserve"> 30, 202</w:t>
              </w:r>
            </w:hyperlink>
            <w:hyperlink w:anchor="ib9c5802e33ec4b258c2b42fcff6434e5_25">
              <w:r>
                <w:rPr>
                  <w:rStyle w:val="InternetLink"/>
                  <w:rFonts w:ascii="Times New Roman;serif" w:hAnsi="Times New Roman;serif"/>
                  <w:b w:val="false"/>
                  <w:color w:val="000080"/>
                  <w:sz w:val="20"/>
                  <w:u w:val="single"/>
                </w:rPr>
                <w:t>6</w:t>
              </w:r>
            </w:hyperlink>
            <w:hyperlink w:anchor="ib9c5802e33ec4b258c2b42fcff6434e5_25">
              <w:r>
                <w:rPr>
                  <w:rStyle w:val="InternetLink"/>
                  <w:rFonts w:ascii="Times New Roman;serif" w:hAnsi="Times New Roman;serif"/>
                  <w:b w:val="false"/>
                  <w:color w:val="000080"/>
                  <w:sz w:val="20"/>
                  <w:u w:val="single"/>
                </w:rPr>
                <w:t xml:space="preserve">, and </w:t>
              </w:r>
            </w:hyperlink>
            <w:hyperlink w:anchor="ib9c5802e33ec4b258c2b42fcff6434e5_25">
              <w:r>
                <w:rPr>
                  <w:rStyle w:val="InternetLink"/>
                  <w:rFonts w:ascii="Times New Roman;serif" w:hAnsi="Times New Roman;serif"/>
                  <w:b w:val="false"/>
                  <w:color w:val="000080"/>
                  <w:sz w:val="20"/>
                  <w:u w:val="single"/>
                </w:rPr>
                <w:t>June</w:t>
              </w:r>
            </w:hyperlink>
            <w:hyperlink w:anchor="ib9c5802e33ec4b258c2b42fcff6434e5_25">
              <w:r>
                <w:rPr>
                  <w:rStyle w:val="InternetLink"/>
                  <w:rFonts w:ascii="Times New Roman;serif" w:hAnsi="Times New Roman;serif"/>
                  <w:b w:val="false"/>
                  <w:color w:val="000080"/>
                  <w:sz w:val="20"/>
                  <w:u w:val="single"/>
                </w:rPr>
                <w:t xml:space="preserve"> 30, 202</w:t>
              </w:r>
            </w:hyperlink>
            <w:hyperlink w:anchor="ib9c5802e33ec4b258c2b42fcff6434e5_25">
              <w:r>
                <w:rPr>
                  <w:rStyle w:val="InternetLink"/>
                  <w:rFonts w:ascii="Times New Roman;serif" w:hAnsi="Times New Roman;serif"/>
                  <w:b w:val="false"/>
                  <w:color w:val="000080"/>
                  <w:sz w:val="20"/>
                  <w:u w:val="single"/>
                </w:rPr>
                <w:t>5</w:t>
              </w:r>
            </w:hyperlink>
            <w:hyperlink w:anchor="ib9c5802e33ec4b258c2b42fcff6434e5_25">
              <w:r>
                <w:rPr>
                  <w:rStyle w:val="InternetLink"/>
                  <w:rFonts w:ascii="Times New Roman;serif" w:hAnsi="Times New Roman;serif"/>
                  <w:b w:val="false"/>
                  <w:color w:val="000080"/>
                  <w:sz w:val="20"/>
                  <w:u w:val="single"/>
                </w:rPr>
                <w:t xml:space="preserve"> (Unaudited)</w:t>
              </w:r>
            </w:hyperlink>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25">
              <w:r>
                <w:rPr>
                  <w:rStyle w:val="InternetLink"/>
                  <w:rFonts w:ascii="Times New Roman;serif" w:hAnsi="Times New Roman;serif"/>
                  <w:b w:val="false"/>
                  <w:color w:val="0000FF"/>
                  <w:sz w:val="20"/>
                  <w:u w:val="single"/>
                </w:rPr>
                <w:t>5</w:t>
              </w:r>
            </w:hyperlink>
          </w:p>
        </w:tc>
      </w:tr>
      <w:tr>
        <w:trPr/>
        <w:tc>
          <w:tcPr>
            <w:tcW w:w="9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28">
              <w:r>
                <w:rPr>
                  <w:rStyle w:val="InternetLink"/>
                  <w:rFonts w:ascii="Times New Roman;serif" w:hAnsi="Times New Roman;serif"/>
                  <w:b w:val="false"/>
                  <w:color w:val="000080"/>
                  <w:sz w:val="20"/>
                  <w:u w:val="single"/>
                </w:rPr>
                <w:t xml:space="preserve">Consolidated Statements of Cash Flows for the </w:t>
              </w:r>
            </w:hyperlink>
            <w:hyperlink w:anchor="ib9c5802e33ec4b258c2b42fcff6434e5_28">
              <w:r>
                <w:rPr>
                  <w:rStyle w:val="InternetLink"/>
                  <w:rFonts w:ascii="Times New Roman;serif" w:hAnsi="Times New Roman;serif"/>
                  <w:b w:val="false"/>
                  <w:color w:val="000080"/>
                  <w:sz w:val="20"/>
                  <w:u w:val="single"/>
                </w:rPr>
                <w:t>Six</w:t>
              </w:r>
            </w:hyperlink>
            <w:hyperlink w:anchor="ib9c5802e33ec4b258c2b42fcff6434e5_28">
              <w:r>
                <w:rPr>
                  <w:rStyle w:val="InternetLink"/>
                  <w:rFonts w:ascii="Times New Roman;serif" w:hAnsi="Times New Roman;serif"/>
                  <w:b w:val="false"/>
                  <w:color w:val="000080"/>
                  <w:sz w:val="20"/>
                  <w:u w:val="single"/>
                </w:rPr>
                <w:t xml:space="preserve"> Months Ended </w:t>
              </w:r>
            </w:hyperlink>
            <w:hyperlink w:anchor="ib9c5802e33ec4b258c2b42fcff6434e5_28">
              <w:r>
                <w:rPr>
                  <w:rStyle w:val="InternetLink"/>
                  <w:rFonts w:ascii="Times New Roman;serif" w:hAnsi="Times New Roman;serif"/>
                  <w:b w:val="false"/>
                  <w:color w:val="000080"/>
                  <w:sz w:val="20"/>
                  <w:u w:val="single"/>
                </w:rPr>
                <w:t>June</w:t>
              </w:r>
            </w:hyperlink>
            <w:hyperlink w:anchor="ib9c5802e33ec4b258c2b42fcff6434e5_28">
              <w:r>
                <w:rPr>
                  <w:rStyle w:val="InternetLink"/>
                  <w:rFonts w:ascii="Times New Roman;serif" w:hAnsi="Times New Roman;serif"/>
                  <w:b w:val="false"/>
                  <w:color w:val="000080"/>
                  <w:sz w:val="20"/>
                  <w:u w:val="single"/>
                </w:rPr>
                <w:t xml:space="preserve"> 30, 202</w:t>
              </w:r>
            </w:hyperlink>
            <w:hyperlink w:anchor="ib9c5802e33ec4b258c2b42fcff6434e5_28">
              <w:r>
                <w:rPr>
                  <w:rStyle w:val="InternetLink"/>
                  <w:rFonts w:ascii="Times New Roman;serif" w:hAnsi="Times New Roman;serif"/>
                  <w:b w:val="false"/>
                  <w:color w:val="000080"/>
                  <w:sz w:val="20"/>
                  <w:u w:val="single"/>
                </w:rPr>
                <w:t>6</w:t>
              </w:r>
            </w:hyperlink>
            <w:hyperlink w:anchor="ib9c5802e33ec4b258c2b42fcff6434e5_28">
              <w:r>
                <w:rPr>
                  <w:rStyle w:val="InternetLink"/>
                  <w:rFonts w:ascii="Times New Roman;serif" w:hAnsi="Times New Roman;serif"/>
                  <w:b w:val="false"/>
                  <w:color w:val="000080"/>
                  <w:sz w:val="20"/>
                  <w:u w:val="single"/>
                </w:rPr>
                <w:t xml:space="preserve">, and </w:t>
              </w:r>
            </w:hyperlink>
            <w:hyperlink w:anchor="ib9c5802e33ec4b258c2b42fcff6434e5_28">
              <w:r>
                <w:rPr>
                  <w:rStyle w:val="InternetLink"/>
                  <w:rFonts w:ascii="Times New Roman;serif" w:hAnsi="Times New Roman;serif"/>
                  <w:b w:val="false"/>
                  <w:color w:val="000080"/>
                  <w:sz w:val="20"/>
                  <w:u w:val="single"/>
                </w:rPr>
                <w:t>June</w:t>
              </w:r>
            </w:hyperlink>
            <w:hyperlink w:anchor="ib9c5802e33ec4b258c2b42fcff6434e5_28">
              <w:r>
                <w:rPr>
                  <w:rStyle w:val="InternetLink"/>
                  <w:rFonts w:ascii="Times New Roman;serif" w:hAnsi="Times New Roman;serif"/>
                  <w:b w:val="false"/>
                  <w:color w:val="000080"/>
                  <w:sz w:val="20"/>
                  <w:u w:val="single"/>
                </w:rPr>
                <w:t xml:space="preserve"> 30, 202</w:t>
              </w:r>
            </w:hyperlink>
            <w:hyperlink w:anchor="ib9c5802e33ec4b258c2b42fcff6434e5_28">
              <w:r>
                <w:rPr>
                  <w:rStyle w:val="InternetLink"/>
                  <w:rFonts w:ascii="Times New Roman;serif" w:hAnsi="Times New Roman;serif"/>
                  <w:b w:val="false"/>
                  <w:color w:val="000080"/>
                  <w:sz w:val="20"/>
                  <w:u w:val="single"/>
                </w:rPr>
                <w:t>5</w:t>
              </w:r>
            </w:hyperlink>
            <w:hyperlink w:anchor="ib9c5802e33ec4b258c2b42fcff6434e5_28">
              <w:r>
                <w:rPr>
                  <w:rStyle w:val="InternetLink"/>
                  <w:rFonts w:ascii="Times New Roman;serif" w:hAnsi="Times New Roman;serif"/>
                  <w:b w:val="false"/>
                  <w:color w:val="000080"/>
                  <w:sz w:val="20"/>
                  <w:u w:val="single"/>
                </w:rPr>
                <w:t xml:space="preserve"> (Unaudited)</w:t>
              </w:r>
            </w:hyperlink>
          </w:p>
        </w:tc>
        <w:tc>
          <w:tcPr>
            <w:tcW w:w="5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28">
              <w:r>
                <w:rPr>
                  <w:rStyle w:val="InternetLink"/>
                  <w:rFonts w:ascii="Times New Roman;serif" w:hAnsi="Times New Roman;serif"/>
                  <w:b w:val="false"/>
                  <w:color w:val="0000FF"/>
                  <w:sz w:val="20"/>
                  <w:u w:val="single"/>
                </w:rPr>
                <w:t>7</w:t>
              </w:r>
            </w:hyperlink>
          </w:p>
        </w:tc>
      </w:tr>
      <w:tr>
        <w:trPr/>
        <w:tc>
          <w:tcPr>
            <w:tcW w:w="9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9c5802e33ec4b258c2b42fcff6434e5_34">
              <w:r>
                <w:rPr>
                  <w:rStyle w:val="InternetLink"/>
                  <w:rFonts w:ascii="Times New Roman;serif" w:hAnsi="Times New Roman;serif"/>
                  <w:b w:val="false"/>
                  <w:color w:val="0000FF"/>
                  <w:sz w:val="20"/>
                  <w:u w:val="single"/>
                </w:rPr>
                <w:t>Notes to the Consolidated Financial Statements (Unaudited)</w:t>
              </w:r>
            </w:hyperlink>
            <w:r>
              <w:rPr>
                <w:color w:val="000000"/>
              </w:rPr>
              <w:t xml:space="preserve"> </w:t>
            </w:r>
          </w:p>
        </w:tc>
        <w:tc>
          <w:tcPr>
            <w:tcW w:w="5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b9c5802e33ec4b258c2b42fcff6434e5_34">
              <w:r>
                <w:rPr>
                  <w:rStyle w:val="InternetLink"/>
                  <w:rFonts w:ascii="Times New Roman;serif" w:hAnsi="Times New Roman;serif"/>
                  <w:b w:val="false"/>
                  <w:color w:val="0000FF"/>
                  <w:sz w:val="20"/>
                  <w:u w:val="single"/>
                </w:rPr>
                <w:t>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Burke &amp; Herbert Financial Services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tbl>
      <w:tblPr>
        <w:tblW w:w="10205" w:type="dxa"/>
        <w:jc w:val="left"/>
        <w:tblInd w:w="0" w:type="dxa"/>
        <w:tblLayout w:type="fixed"/>
        <w:tblCellMar>
          <w:top w:w="28" w:type="dxa"/>
          <w:left w:w="28" w:type="dxa"/>
          <w:bottom w:w="28" w:type="dxa"/>
          <w:right w:w="28" w:type="dxa"/>
        </w:tblCellMar>
      </w:tblPr>
      <w:tblGrid>
        <w:gridCol w:w="2827"/>
        <w:gridCol w:w="2095"/>
        <w:gridCol w:w="2015"/>
        <w:gridCol w:w="109"/>
        <w:gridCol w:w="109"/>
        <w:gridCol w:w="109"/>
        <w:gridCol w:w="196"/>
        <w:gridCol w:w="961"/>
        <w:gridCol w:w="109"/>
        <w:gridCol w:w="109"/>
        <w:gridCol w:w="109"/>
        <w:gridCol w:w="109"/>
        <w:gridCol w:w="216"/>
        <w:gridCol w:w="961"/>
        <w:gridCol w:w="171"/>
      </w:tblGrid>
      <w:tr>
        <w:trPr/>
        <w:tc>
          <w:tcPr>
            <w:tcW w:w="2827"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(Audited)</w:t>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due from banks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deposits with banks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289,127 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Securities available-for-sale,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1,615,954 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5,387,676 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(67,823)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7,905,295 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5,319,853 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136,809 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Total Assets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10,991,300 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7,920,626 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1,336,380 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6,910,006 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5,067,561 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8,968,082 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6,403,941 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debentures,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debentures owed to unconsolidated subsidiary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interest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Total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9,789,121 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7,065,977 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contingent liabilities (see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and related surplus, $1.00 par value per share; 2,000,000 shares authorized; 1,500 shares issued and outstanding at June 30, 2026; 1,500 shares issued and outstanding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$0.50 par value; 40,000,000 shares authorized, 20,736,461 shares issued and 20,165,171 shares outstanding at June 30, 2026; 40,000,000 shares authorized, 15,599,814 shares issued and 15,028,524 shares outstanding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405,922 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517,058 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571,290 shares, at cost, at June 30, 2026, and 571,290 shares, at cost, at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Total Shareholders’ Equity</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854,649 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Total Liabilities and Shareholders’ Equity</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10,991,300 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7,920,626 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Burke &amp; Herbert Financial Services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51"/>
        <w:gridCol w:w="1502"/>
        <w:gridCol w:w="1509"/>
        <w:gridCol w:w="109"/>
        <w:gridCol w:w="109"/>
        <w:gridCol w:w="109"/>
        <w:gridCol w:w="196"/>
        <w:gridCol w:w="736"/>
        <w:gridCol w:w="109"/>
        <w:gridCol w:w="109"/>
        <w:gridCol w:w="109"/>
        <w:gridCol w:w="109"/>
        <w:gridCol w:w="196"/>
        <w:gridCol w:w="661"/>
        <w:gridCol w:w="109"/>
        <w:gridCol w:w="109"/>
        <w:gridCol w:w="109"/>
        <w:gridCol w:w="109"/>
        <w:gridCol w:w="196"/>
        <w:gridCol w:w="736"/>
        <w:gridCol w:w="109"/>
        <w:gridCol w:w="109"/>
        <w:gridCol w:w="109"/>
        <w:gridCol w:w="109"/>
        <w:gridCol w:w="196"/>
        <w:gridCol w:w="736"/>
        <w:gridCol w:w="155"/>
      </w:tblGrid>
      <w:tr>
        <w:trPr/>
        <w:tc>
          <w:tcPr>
            <w:tcW w:w="1751"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Taxable loans, including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193,834 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Tax-exempt loans, including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Tax-exempt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222,644 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Subordinated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75,424 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Net interest income</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147,220 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Credit loss expense (recapture) - loans and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Credit loss expense (recapture) - off-balance sheet credit exposures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Total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interest income after credit loss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146,095 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Fiduciary and wealth management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Service charges and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gain on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from company-owned life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Bank debit and other card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non-interest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Salaries and wages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42,261 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Pensions and other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Occupancy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7,566 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Equipment rentals, depreciation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Core deposit intangible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ATM, card and network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FDIC and other regulatory assessments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operating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19,121 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non-interest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98,969 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70,026 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57,098 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applicable to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9,257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29,672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36,381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7"/>
              </w:rPr>
              <w:t>56,648</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Burke &amp; Herbert Financial Services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87"/>
        <w:gridCol w:w="1564"/>
        <w:gridCol w:w="1589"/>
        <w:gridCol w:w="109"/>
        <w:gridCol w:w="109"/>
        <w:gridCol w:w="109"/>
        <w:gridCol w:w="196"/>
        <w:gridCol w:w="648"/>
        <w:gridCol w:w="109"/>
        <w:gridCol w:w="109"/>
        <w:gridCol w:w="109"/>
        <w:gridCol w:w="109"/>
        <w:gridCol w:w="196"/>
        <w:gridCol w:w="648"/>
        <w:gridCol w:w="109"/>
        <w:gridCol w:w="109"/>
        <w:gridCol w:w="109"/>
        <w:gridCol w:w="109"/>
        <w:gridCol w:w="196"/>
        <w:gridCol w:w="646"/>
        <w:gridCol w:w="109"/>
        <w:gridCol w:w="109"/>
        <w:gridCol w:w="109"/>
        <w:gridCol w:w="109"/>
        <w:gridCol w:w="196"/>
        <w:gridCol w:w="646"/>
        <w:gridCol w:w="158"/>
      </w:tblGrid>
      <w:tr>
        <w:trPr/>
        <w:tc>
          <w:tcPr>
            <w:tcW w:w="1887"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57,098 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Unrealized gains (losses)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Unrealized gain (loss) arising during period, net of tax of ($2,374) and ($43) for the three months ended June 30, 2026, and June 30, 2025, respectively, net of tax of $559 and ($2,560) for the six months ended June 30, 2026, and June 30, 2025,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loss (gain) on securities, net of tax of ($427) and $9 for the three months ended June 30, 2026, and June 30, 2025, respectively, net of tax of ($16) and $9 for the six months ended June 30, 2026, and June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loss (gain) on fair value hedge, net of tax of $156 and $9 for the three months ended June 30, 2026, and June 30, 2025, respectively, net of tax of $166 and $19 for the six months ended June 30, 2026, and June 30,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Defined benefit pension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Changes in pension plan benefits, net of tax of $17 and $8 for the three months ended June 30, 2026, and June 30, 2025, respectively, net of tax of $17 and $8 for the six months ended June 30, 2026, and June 30, 2025,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Unrealized gain (loss) on cash flow hedge: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Unrealized holding gain (loss) on cash flow hedge, net of tax of ($218) and ($202) for the three months ended June 30, 2026, and June 30, 2025, respectively, net of tax of ($600) and ($91) for the six months ended June 30, 2026, and June 30,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losses (gains) included in net income, net of tax $66 and $168 for the three months ended June 30, 2026, and June 30, 2025, respectively, net of tax of $74 and $266 for the six months ended June 30, 2026, and June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 xml:space="preserve">Comprehensive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64,964 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80"/>
            <w:sz w:val="20"/>
            <w:u w:val="single"/>
          </w:rPr>
          <w:t>Table of Contents</w:t>
        </w:r>
      </w:hyperlink>
      <w:hyperlink w:anchor="ib9c5802e33ec4b258c2b42fcff6434e5_7">
        <w:r>
          <w:rPr>
            <w:rStyle w:val="InternetLink"/>
            <w:rFonts w:ascii="Times New Roman;serif" w:hAnsi="Times New Roman;serif"/>
            <w:b w:val="false"/>
            <w:color w:val="000080"/>
            <w:sz w:val="20"/>
            <w:u w:val="single"/>
          </w:rPr>
          <w:t>    </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Burke &amp; Herbert Financial Services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064" w:type="dxa"/>
        <w:jc w:val="left"/>
        <w:tblInd w:w="0" w:type="dxa"/>
        <w:tblLayout w:type="fixed"/>
        <w:tblCellMar>
          <w:top w:w="28" w:type="dxa"/>
          <w:left w:w="28" w:type="dxa"/>
          <w:bottom w:w="28" w:type="dxa"/>
          <w:right w:w="28" w:type="dxa"/>
        </w:tblCellMar>
      </w:tblPr>
      <w:tblGrid>
        <w:gridCol w:w="684"/>
        <w:gridCol w:w="431"/>
        <w:gridCol w:w="221"/>
        <w:gridCol w:w="196"/>
        <w:gridCol w:w="646"/>
        <w:gridCol w:w="109"/>
        <w:gridCol w:w="109"/>
        <w:gridCol w:w="109"/>
        <w:gridCol w:w="109"/>
        <w:gridCol w:w="480"/>
        <w:gridCol w:w="481"/>
        <w:gridCol w:w="286"/>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16"/>
        <w:gridCol w:w="109"/>
        <w:gridCol w:w="109"/>
        <w:gridCol w:w="109"/>
        <w:gridCol w:w="109"/>
        <w:gridCol w:w="196"/>
        <w:gridCol w:w="661"/>
        <w:gridCol w:w="109"/>
        <w:gridCol w:w="109"/>
        <w:gridCol w:w="109"/>
        <w:gridCol w:w="109"/>
        <w:gridCol w:w="196"/>
        <w:gridCol w:w="871"/>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 and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Shareholders’</w:t>
              <w:br/>
              <w:t>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15,045,941 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864,504 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LINKBANCORP, Inc.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5,082,605 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sale of treasury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cash dividends, declared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cash dividends, declared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20,165,171 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14,982,807 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sale of treasury stock,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cash dividends, declared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cash dividends, declared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15,007,712 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474,019 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(87,854)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780,018 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See Notes to Consolidated Financial Statements.</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Burke &amp; Herbert Financial Services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June 30, 2026, and 2025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064" w:type="dxa"/>
        <w:jc w:val="left"/>
        <w:tblInd w:w="0" w:type="dxa"/>
        <w:tblLayout w:type="fixed"/>
        <w:tblCellMar>
          <w:top w:w="28" w:type="dxa"/>
          <w:left w:w="28" w:type="dxa"/>
          <w:bottom w:w="28" w:type="dxa"/>
          <w:right w:w="28" w:type="dxa"/>
        </w:tblCellMar>
      </w:tblPr>
      <w:tblGrid>
        <w:gridCol w:w="770"/>
        <w:gridCol w:w="297"/>
        <w:gridCol w:w="269"/>
        <w:gridCol w:w="196"/>
        <w:gridCol w:w="646"/>
        <w:gridCol w:w="109"/>
        <w:gridCol w:w="109"/>
        <w:gridCol w:w="109"/>
        <w:gridCol w:w="109"/>
        <w:gridCol w:w="480"/>
        <w:gridCol w:w="481"/>
        <w:gridCol w:w="286"/>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716"/>
        <w:gridCol w:w="109"/>
        <w:gridCol w:w="109"/>
        <w:gridCol w:w="109"/>
        <w:gridCol w:w="109"/>
        <w:gridCol w:w="196"/>
        <w:gridCol w:w="661"/>
        <w:gridCol w:w="109"/>
        <w:gridCol w:w="109"/>
        <w:gridCol w:w="109"/>
        <w:gridCol w:w="109"/>
        <w:gridCol w:w="196"/>
        <w:gridCol w:w="871"/>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Preferred Stock and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Shareholders’</w:t>
              <w:br/>
              <w:t>Equity</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15,028,524 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854,649 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LINKBANCORP, Inc.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5,082,605 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sale of treasury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cash dividends, declared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cash dividends, declared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54,042 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20,165,171 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1,202,179 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14,969,104 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730,157 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sale of treasury stock,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cash dividends, declared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cash dividends, declared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15,007,712 </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403,234 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474,019 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(87,854)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(27,584)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780,018 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See Notes to Consolidated Financial Statements.</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Burke &amp; Herbert Financial Services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8600" w:type="dxa"/>
        <w:jc w:val="left"/>
        <w:tblInd w:w="0" w:type="dxa"/>
        <w:tblLayout w:type="fixed"/>
        <w:tblCellMar>
          <w:top w:w="28" w:type="dxa"/>
          <w:left w:w="28" w:type="dxa"/>
          <w:bottom w:w="28" w:type="dxa"/>
          <w:right w:w="28" w:type="dxa"/>
        </w:tblCellMar>
      </w:tblPr>
      <w:tblGrid>
        <w:gridCol w:w="2142"/>
        <w:gridCol w:w="1884"/>
        <w:gridCol w:w="1898"/>
        <w:gridCol w:w="109"/>
        <w:gridCol w:w="109"/>
        <w:gridCol w:w="109"/>
        <w:gridCol w:w="196"/>
        <w:gridCol w:w="721"/>
        <w:gridCol w:w="109"/>
        <w:gridCol w:w="109"/>
        <w:gridCol w:w="109"/>
        <w:gridCol w:w="109"/>
        <w:gridCol w:w="196"/>
        <w:gridCol w:w="646"/>
        <w:gridCol w:w="154"/>
      </w:tblGrid>
      <w:tr>
        <w:trPr/>
        <w:tc>
          <w:tcPr>
            <w:tcW w:w="2142"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on assumed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income related to acquired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(22,979)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housing 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 loss on sales of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 on sales of OREO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loans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loans held-for-sale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Originations of loans held-for-sale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accrued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accrued interest payable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28,522 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maturities, prepayments, and calls of securities available-for-sale,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107,736 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securities available-for-sale,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securities available-for-sale,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(193,692)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Business acquisitions,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29,069 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(37,699)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 net of disposals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of OREO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loans made to customers,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non-interest-bearing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(decrease) in interest-bearing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(108,980)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other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Payment for call of subordinated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Burke &amp; Herbert Financial Services Corp.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7355" w:type="dxa"/>
        <w:jc w:val="left"/>
        <w:tblInd w:w="0" w:type="dxa"/>
        <w:tblLayout w:type="fixed"/>
        <w:tblCellMar>
          <w:top w:w="28" w:type="dxa"/>
          <w:left w:w="28" w:type="dxa"/>
          <w:bottom w:w="28" w:type="dxa"/>
          <w:right w:w="28" w:type="dxa"/>
        </w:tblCellMar>
      </w:tblPr>
      <w:tblGrid>
        <w:gridCol w:w="1627"/>
        <w:gridCol w:w="1430"/>
        <w:gridCol w:w="1442"/>
        <w:gridCol w:w="109"/>
        <w:gridCol w:w="109"/>
        <w:gridCol w:w="109"/>
        <w:gridCol w:w="196"/>
        <w:gridCol w:w="811"/>
        <w:gridCol w:w="109"/>
        <w:gridCol w:w="109"/>
        <w:gridCol w:w="109"/>
        <w:gridCol w:w="109"/>
        <w:gridCol w:w="196"/>
        <w:gridCol w:w="736"/>
        <w:gridCol w:w="154"/>
      </w:tblGrid>
      <w:tr>
        <w:trPr/>
        <w:tc>
          <w:tcPr>
            <w:tcW w:w="162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employee stock purchase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flows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(121,974)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189,832 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135,314 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325,146 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Disclosures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payments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 to depositors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63,801 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 on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 on subordinated debt and trust preferred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unrealized gains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liability arising from obtaining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transferred to 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issued for LNKB Merger,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issued for LNKB Merger,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Nature of Business Activities and Significant Accounting Policies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Nature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Burke &amp; Herbert Financial Services Corp. (“Burke &amp; Herbert”) and its wholly-owned subsidiary Burke &amp; Herbert Bank &amp; Trust Company (“the Bank”), together referred to as “the Company” for purposes of the Notes to the Financial Statements.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Burke &amp; Herbert Financial Services Corp. was organized as a Virginia corporation in 2022 to serve as the holding company for the Bank. Burke &amp; Herbert became a bank holding company when it commenced operations on October 1, 2022, following a reorganization transaction in which it acquired control of the Bank under the Bank Holding Company Act of 1956 (“BHCA”). This transaction was treated as an internal reorganization as all shareholders of the Bank became shareholders of Burke &amp; Herbert. Burke &amp; Herbert has no material operations other than owning the Bank. In September 2023, Burke &amp; Herbert elected to become a financial holding company under the BHCA. As a financial holding company of a Virginia state bank, the Company is subject to regulation, supervision, and examination by the Board of Governors of the Federal Reserve System (the “Federal Reserve”) and the Bureau of Financial Institutions of the Virginia State Corporation Commission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Bank’s operations are conducted from it’s over 105 branches and commercial loan offices across Delaware, Kentucky, Maryland, Virginia, West Virginia, and Pennsylvania.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Merger with LINKBANCORP, Inc.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Effective on May 1, 2026 (the “Closing Date”) Burke &amp; Herbert completed its previously announced merger with LINKBANCORP, Inc., a Pennsylvania corporation (“LNKB”), pursuant to the Agreement and Plan of Merger dated, December 18, 2025, between Burke &amp; Herbert and LNKB (the “LNKB Merger Agreement”).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LNKB Merger Agreement, on the Closing Date, (i) LNKB merged with and into Burke &amp; Herbert, with Burke &amp; Herbert continuing as the surviving corporation (the “LNKB Merger”), and (ii) immediately following the LNKB Merger, LINKBANK, a Pennsylvania chartered commercial bank and a wholly-owned subsidiary of LNKB (“Link”), merged with and into the Bank with the Bank as the surviving bank.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LNKB Merger Agreement, at the effective time of the LNKB Merger (the “Effective Time”), each LNKB share of common stock, par value $0.01 per share (“LNKB Common Stock”) issued and outstanding immediately prior to the Effective Time, other than certain shares held by Burke &amp; Herbert and LNKB, was converted into the right to receive 0.1350 shares of Burke &amp; Herbert common stock. Holders of LNKB Common Stock received cash in lieu of fractional shares of Burke &amp; Herbert common stock in accordance with the terms of the LNKB Merger Agreement. The total aggregate consideration payable in the LNKB Merger was approximately 5,082,605 shares of Burke &amp; Herbert common stock.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include Burke &amp; Herbert Financial Services Corp. and its wholly owned subsidiary Burke &amp; Herbert Bank &amp; Trust Company and have been prepared in accordance with generally accepted accounting principles in the United States of America (“GAAP”) for interim financial reporting and with applicable quarterly reporting regulations of the U.S. Securities and Exchange Commission (“SEC”). The accounting and reporting policies of the Company conform to GAAP and reflect practices of the banking industry. They do not include all of the information and notes required by GAAP for complete financial statements. As such, these unaudited financial statements should be read in conjunction with the consolidated financial statements and notes thereto as of and for the year ended December 31, 2025, included in the Company’s Annual Report on Form 10-K filed with the SEC on February 27,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 the accounts of the Company and the Bank (as its wholly-owned subsidiary). All significant intercompany accounts and transactions between the Company and the Bank have been eliminated.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Nature of Business Activities and Significant Accounting Policies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preparing financial statements in conformity with GAAP, management is required to make estimates and assumptions that affect the reported amounts of assets and liabilities as of the date of the balance sheet and reported amounts of revenues and expenses during the reporting period. Actual results could differ from those estimates.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the opinion of management, all adjustments, consisting only of normal recurring adjustments, which are necessary for a fair presentation of the results of operations in these financial statements, have been made. The results of operations for the three and six months ended June 30, 2026, are not necessarily indicative of the results to be expected for any other interim period or for the full year. All December 31, 2025, amounts and disclosures included in this quarterly report were derived from the Company’s audited consolidated financial statements. Certain items in the prior period have been reclassified to conform to the current presentation. These reclassifications had no effect on prior year net income or on shareholders’ equity.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Newly issued not yet adopted accounting standards</w:t>
      </w:r>
    </w:p>
    <w:p>
      <w:pPr>
        <w:pStyle w:val="TextBody"/>
        <w:bidi w:val="0"/>
        <w:spacing w:lineRule="auto" w:line="288" w:before="0" w:after="18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(Subtopic 220-40): Reporting Comprehensive Income—Expense Disaggregation Disclosures.</w:t>
      </w:r>
      <w:r>
        <w:rPr>
          <w:color w:val="000000"/>
        </w:rPr>
        <w:t xml:space="preserve"> </w:t>
      </w:r>
      <w:r>
        <w:rPr>
          <w:rFonts w:ascii="Times New Roman;serif" w:hAnsi="Times New Roman;serif"/>
          <w:b w:val="false"/>
          <w:color w:val="000000"/>
          <w:sz w:val="20"/>
        </w:rPr>
        <w:t>This ASU seeks to improve the disclosures about a public business entity’s expenses and addresses requests from investors for more detailed information about the types of expenses in commonly presented expense captions. The amendments in this update are effective for annual reporting periods beginning after December 15, 2026, and interim reporting periods beginning after December 15, 2027. Early adoption is permitted. This ASU is not expected to have a material impact on our consolidated financial statements.</w:t>
      </w:r>
    </w:p>
    <w:p>
      <w:pPr>
        <w:pStyle w:val="TextBody"/>
        <w:bidi w:val="0"/>
        <w:spacing w:lineRule="auto" w:line="288" w:before="0" w:after="180"/>
        <w:jc w:val="both"/>
        <w:rPr/>
      </w:pPr>
      <w:r>
        <w:rPr>
          <w:rFonts w:ascii="Times New Roman;serif" w:hAnsi="Times New Roman;serif"/>
          <w:b w:val="false"/>
          <w:color w:val="000000"/>
          <w:sz w:val="20"/>
        </w:rPr>
        <w:t xml:space="preserve">In October 2023, the FASB issued ASU 2023-06, </w:t>
      </w:r>
      <w:r>
        <w:rPr>
          <w:rFonts w:ascii="Times New Roman;serif" w:hAnsi="Times New Roman;serif"/>
          <w:b w:val="false"/>
          <w:i/>
          <w:color w:val="000000"/>
          <w:sz w:val="20"/>
        </w:rPr>
        <w:t>Disclosure Improvements: Codification Amendments in Response to the SEC’s Disclosure Update and Simplification Initiative</w:t>
      </w:r>
      <w:r>
        <w:rPr>
          <w:rFonts w:ascii="Times New Roman;serif" w:hAnsi="Times New Roman;serif"/>
          <w:b w:val="false"/>
          <w:color w:val="000000"/>
          <w:sz w:val="20"/>
        </w:rPr>
        <w:t>. This ASU incorporates certain amendments to SEC disclosure requirements into the FASB Accounting Standards Codification. The amendments in the ASU are expected to clarify or improve disclosure and presentation requirements of a variety of Codification Topics, allow users to more easily compare entities subject to the SEC’s existing disclosures with those entities that were not previously subject to the requirements, and align the requirements in the Codification with the SEC’s regulations.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the related disclosure requirement becomes effective. For all other entities, the effective date will be two years after the date of such removal. However, if by June 30, 2027, the SEC has not removed the related disclosure from its regulations, the amendments will be removed from the Codification and not become effective for any entity. We do not expect the adoption of ASU 2023-06 to have a material impact on our consolidated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Recently Adopted Standards</w:t>
      </w:r>
    </w:p>
    <w:p>
      <w:pPr>
        <w:pStyle w:val="TextBody"/>
        <w:bidi w:val="0"/>
        <w:spacing w:lineRule="auto" w:line="288" w:before="0" w:after="180"/>
        <w:jc w:val="both"/>
        <w:rPr/>
      </w:pPr>
      <w:r>
        <w:rPr>
          <w:rFonts w:ascii="Times New Roman;serif" w:hAnsi="Times New Roman;serif"/>
          <w:b w:val="false"/>
          <w:color w:val="000000"/>
          <w:sz w:val="20"/>
        </w:rPr>
        <w:t xml:space="preserve">In November 2025, the FASB issued ASU 2025-08, </w:t>
      </w:r>
      <w:r>
        <w:rPr>
          <w:rFonts w:ascii="Times New Roman;serif" w:hAnsi="Times New Roman;serif"/>
          <w:b w:val="false"/>
          <w:i/>
          <w:color w:val="000000"/>
          <w:sz w:val="20"/>
        </w:rPr>
        <w:t xml:space="preserve">Financial Instruments - Credit Losses (Topic 326): Purchased Loans. </w:t>
      </w:r>
      <w:r>
        <w:rPr>
          <w:rFonts w:ascii="Times New Roman;serif" w:hAnsi="Times New Roman;serif"/>
          <w:b w:val="false"/>
          <w:color w:val="000000"/>
          <w:sz w:val="20"/>
        </w:rPr>
        <w:t>This ASU amends the accounting for certain acquired loans by expanding the use of the “gross</w:t>
        <w:noBreakHyphen/>
        <w:t>up” approach under the CECL model to include purchased seasoned loans. Under this approach, the allowance for expected credit losses is recognized at the acquisition date as an adjustment to the loan’s amortized cost basis, rather than through a provision for credit losses, thereby eliminating a “day</w:t>
        <w:noBreakHyphen/>
        <w:t>one” credit loss expense for loans within the scope of the guidance. The amendments do not change the accounting for purchased credit</w:t>
        <w:noBreakHyphen/>
        <w:t>deteriorated loans, originated loans, credit card loans, or debt securities. The amendments in this update are effective for fiscal years beginning after December 15, 2026, including interim periods within those fiscal years, and are to be applied on a prospective basis. Early adoption is permitted. As permitted, the Company has elected to early adopt the amended guidance on January 1, 2026 on a prospective basis. The Company expects that substantially all the loans acquired in the LNKB Merger will be considered seasoned.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carrying amount of available-for-sale (“AFS”) securities and their approximate fair values at June 30, 2026, and December 31, 2025, are summarized as follows (in thousands):</w:t>
      </w:r>
    </w:p>
    <w:tbl>
      <w:tblPr>
        <w:tblW w:w="10205" w:type="dxa"/>
        <w:jc w:val="left"/>
        <w:tblInd w:w="0" w:type="dxa"/>
        <w:tblLayout w:type="fixed"/>
        <w:tblCellMar>
          <w:top w:w="28" w:type="dxa"/>
          <w:left w:w="28" w:type="dxa"/>
          <w:bottom w:w="28" w:type="dxa"/>
          <w:right w:w="28" w:type="dxa"/>
        </w:tblCellMar>
      </w:tblPr>
      <w:tblGrid>
        <w:gridCol w:w="1183"/>
        <w:gridCol w:w="1038"/>
        <w:gridCol w:w="1042"/>
        <w:gridCol w:w="211"/>
        <w:gridCol w:w="976"/>
        <w:gridCol w:w="109"/>
        <w:gridCol w:w="109"/>
        <w:gridCol w:w="109"/>
        <w:gridCol w:w="109"/>
        <w:gridCol w:w="369"/>
        <w:gridCol w:w="1079"/>
        <w:gridCol w:w="190"/>
        <w:gridCol w:w="109"/>
        <w:gridCol w:w="109"/>
        <w:gridCol w:w="109"/>
        <w:gridCol w:w="341"/>
        <w:gridCol w:w="1166"/>
        <w:gridCol w:w="176"/>
        <w:gridCol w:w="109"/>
        <w:gridCol w:w="109"/>
        <w:gridCol w:w="109"/>
        <w:gridCol w:w="211"/>
        <w:gridCol w:w="976"/>
        <w:gridCol w:w="157"/>
      </w:tblGrid>
      <w:tr>
        <w:trPr/>
        <w:tc>
          <w:tcPr>
            <w:tcW w:w="11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municipalities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2,037,276 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9,474 </w:t>
            </w:r>
          </w:p>
        </w:tc>
        <w:tc>
          <w:tcPr>
            <w:tcW w:w="19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83,712 </w:t>
            </w:r>
          </w:p>
        </w:tc>
        <w:tc>
          <w:tcPr>
            <w:tcW w:w="1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1,963,038 </w:t>
            </w:r>
          </w:p>
        </w:tc>
        <w:tc>
          <w:tcPr>
            <w:tcW w:w="1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83"/>
        <w:gridCol w:w="1038"/>
        <w:gridCol w:w="1042"/>
        <w:gridCol w:w="211"/>
        <w:gridCol w:w="976"/>
        <w:gridCol w:w="109"/>
        <w:gridCol w:w="109"/>
        <w:gridCol w:w="109"/>
        <w:gridCol w:w="109"/>
        <w:gridCol w:w="369"/>
        <w:gridCol w:w="1079"/>
        <w:gridCol w:w="190"/>
        <w:gridCol w:w="109"/>
        <w:gridCol w:w="109"/>
        <w:gridCol w:w="109"/>
        <w:gridCol w:w="341"/>
        <w:gridCol w:w="1166"/>
        <w:gridCol w:w="176"/>
        <w:gridCol w:w="109"/>
        <w:gridCol w:w="109"/>
        <w:gridCol w:w="109"/>
        <w:gridCol w:w="211"/>
        <w:gridCol w:w="976"/>
        <w:gridCol w:w="157"/>
      </w:tblGrid>
      <w:tr>
        <w:trPr/>
        <w:tc>
          <w:tcPr>
            <w:tcW w:w="118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Available-for-Sale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municipalities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922,574 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agency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non-agency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111,109 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1,687,817 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8,819 </w:t>
            </w:r>
          </w:p>
        </w:tc>
        <w:tc>
          <w:tcPr>
            <w:tcW w:w="19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80,682 </w:t>
            </w:r>
          </w:p>
        </w:tc>
        <w:tc>
          <w:tcPr>
            <w:tcW w:w="1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1,615,954 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and December 31, 2025, AFS securities with amortized costs of $1.5 billion and $1.1 billion, respectively, and with estimated fair values of $1.4 billion and $1.1 billion, respectively, were pledged to serve as collateral for secured borrowings, derivative exposures, or to secure public deposits as required or permitted by law.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proceeds from sales, calls, and maturities of debt securities available-for-sale, including principal payments received, and the related gross gains and losses realized, for the six months ended June 30, 2026, and June 30, 2025, were as follows (in thousands):</w:t>
      </w:r>
    </w:p>
    <w:tbl>
      <w:tblPr>
        <w:tblW w:w="9857" w:type="dxa"/>
        <w:jc w:val="left"/>
        <w:tblInd w:w="0" w:type="dxa"/>
        <w:tblLayout w:type="fixed"/>
        <w:tblCellMar>
          <w:top w:w="28" w:type="dxa"/>
          <w:left w:w="28" w:type="dxa"/>
          <w:bottom w:w="28" w:type="dxa"/>
          <w:right w:w="28" w:type="dxa"/>
        </w:tblCellMar>
      </w:tblPr>
      <w:tblGrid>
        <w:gridCol w:w="754"/>
        <w:gridCol w:w="662"/>
        <w:gridCol w:w="669"/>
        <w:gridCol w:w="109"/>
        <w:gridCol w:w="109"/>
        <w:gridCol w:w="109"/>
        <w:gridCol w:w="211"/>
        <w:gridCol w:w="826"/>
        <w:gridCol w:w="109"/>
        <w:gridCol w:w="109"/>
        <w:gridCol w:w="109"/>
        <w:gridCol w:w="109"/>
        <w:gridCol w:w="316"/>
        <w:gridCol w:w="1081"/>
        <w:gridCol w:w="163"/>
        <w:gridCol w:w="109"/>
        <w:gridCol w:w="109"/>
        <w:gridCol w:w="109"/>
        <w:gridCol w:w="307"/>
        <w:gridCol w:w="1049"/>
        <w:gridCol w:w="158"/>
        <w:gridCol w:w="109"/>
        <w:gridCol w:w="109"/>
        <w:gridCol w:w="109"/>
        <w:gridCol w:w="211"/>
        <w:gridCol w:w="616"/>
        <w:gridCol w:w="109"/>
        <w:gridCol w:w="109"/>
        <w:gridCol w:w="109"/>
        <w:gridCol w:w="109"/>
        <w:gridCol w:w="211"/>
        <w:gridCol w:w="616"/>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Proceeds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realized</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Calls and maturities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11,425 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47,993 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tax benefit (provision) related to these net realized gains and losses for June 30, 2026, and June 30, 2025, was $15.8 thousand, and ($8.2) thousand,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maturities of AFS securities at June 30, 2026, were as follows (in thousands): (Expected maturities of securities not due at a single maturity date are based on average life at estimated prepayment speed. Expected maturities may differ from contractual maturities because borrowers have the right to call or prepay some obligations with or without call or prepayment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Securities (continued)</w:t>
      </w:r>
    </w:p>
    <w:tbl>
      <w:tblPr>
        <w:tblW w:w="10205" w:type="dxa"/>
        <w:jc w:val="left"/>
        <w:tblInd w:w="0" w:type="dxa"/>
        <w:tblLayout w:type="fixed"/>
        <w:tblCellMar>
          <w:top w:w="28" w:type="dxa"/>
          <w:left w:w="28" w:type="dxa"/>
          <w:bottom w:w="28" w:type="dxa"/>
          <w:right w:w="28" w:type="dxa"/>
        </w:tblCellMar>
      </w:tblPr>
      <w:tblGrid>
        <w:gridCol w:w="927"/>
        <w:gridCol w:w="814"/>
        <w:gridCol w:w="817"/>
        <w:gridCol w:w="239"/>
        <w:gridCol w:w="820"/>
        <w:gridCol w:w="124"/>
        <w:gridCol w:w="109"/>
        <w:gridCol w:w="109"/>
        <w:gridCol w:w="109"/>
        <w:gridCol w:w="233"/>
        <w:gridCol w:w="915"/>
        <w:gridCol w:w="120"/>
        <w:gridCol w:w="109"/>
        <w:gridCol w:w="109"/>
        <w:gridCol w:w="109"/>
        <w:gridCol w:w="218"/>
        <w:gridCol w:w="1009"/>
        <w:gridCol w:w="112"/>
        <w:gridCol w:w="109"/>
        <w:gridCol w:w="109"/>
        <w:gridCol w:w="109"/>
        <w:gridCol w:w="221"/>
        <w:gridCol w:w="867"/>
        <w:gridCol w:w="114"/>
        <w:gridCol w:w="109"/>
        <w:gridCol w:w="109"/>
        <w:gridCol w:w="109"/>
        <w:gridCol w:w="211"/>
        <w:gridCol w:w="976"/>
        <w:gridCol w:w="160"/>
      </w:tblGrid>
      <w:tr>
        <w:trPr/>
        <w:tc>
          <w:tcPr>
            <w:tcW w:w="92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7"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r>
      <w:tr>
        <w:trPr/>
        <w:tc>
          <w:tcPr>
            <w:tcW w:w="2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 to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Five to 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Available-for-Sale</w:t>
            </w:r>
          </w:p>
        </w:tc>
        <w:tc>
          <w:tcPr>
            <w:tcW w:w="11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 and government agencies</w:t>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158,373 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municipalities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607,699 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1,157,655 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agency</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86,719 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non-agency</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265,209 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380,791 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agency</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73,742 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non-agency</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95,248 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37,262 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2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732,813 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1,017,847 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267,125 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2,037,276 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47"/>
        <w:gridCol w:w="831"/>
        <w:gridCol w:w="835"/>
        <w:gridCol w:w="241"/>
        <w:gridCol w:w="827"/>
        <w:gridCol w:w="125"/>
        <w:gridCol w:w="109"/>
        <w:gridCol w:w="109"/>
        <w:gridCol w:w="109"/>
        <w:gridCol w:w="235"/>
        <w:gridCol w:w="920"/>
        <w:gridCol w:w="121"/>
        <w:gridCol w:w="109"/>
        <w:gridCol w:w="109"/>
        <w:gridCol w:w="109"/>
        <w:gridCol w:w="232"/>
        <w:gridCol w:w="910"/>
        <w:gridCol w:w="119"/>
        <w:gridCol w:w="109"/>
        <w:gridCol w:w="109"/>
        <w:gridCol w:w="109"/>
        <w:gridCol w:w="221"/>
        <w:gridCol w:w="869"/>
        <w:gridCol w:w="114"/>
        <w:gridCol w:w="109"/>
        <w:gridCol w:w="109"/>
        <w:gridCol w:w="109"/>
        <w:gridCol w:w="211"/>
        <w:gridCol w:w="976"/>
        <w:gridCol w:w="163"/>
      </w:tblGrid>
      <w:tr>
        <w:trPr/>
        <w:tc>
          <w:tcPr>
            <w:tcW w:w="9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 to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Five to 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After 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Available-for-Sale</w:t>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 and government agencies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municipalities</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585,361 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1,107,768 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agency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non-agency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85,033 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372,533 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agency</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72,738 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non-agency</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93,347 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w:t>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47,017 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36,701 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19,367 </w:t>
            </w:r>
          </w:p>
        </w:tc>
        <w:tc>
          <w:tcPr>
            <w:tcW w:w="1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705,225 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986,444 </w:t>
            </w:r>
          </w:p>
        </w:tc>
        <w:tc>
          <w:tcPr>
            <w:tcW w:w="1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252,002 </w:t>
            </w:r>
          </w:p>
        </w:tc>
        <w:tc>
          <w:tcPr>
            <w:tcW w:w="1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1,963,038 </w:t>
            </w:r>
          </w:p>
        </w:tc>
        <w:tc>
          <w:tcPr>
            <w:tcW w:w="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there were no holdings of securities of any one issuer, other than the U.S. Government and its agencies, in any amount greater than 10% of shareholders’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Securities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gross unrealized losses and fair value of the Company’s securities with unrealized losses aggregated by investment category and length of time that individual securities have been in a continuous unrealized loss position at June 30, 2026, and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AFS securities in a continuous unrealized loss position for less than twelve months and more than twelve months are as follows (in thousands):</w:t>
      </w:r>
    </w:p>
    <w:tbl>
      <w:tblPr>
        <w:tblW w:w="10205" w:type="dxa"/>
        <w:jc w:val="left"/>
        <w:tblInd w:w="0" w:type="dxa"/>
        <w:tblLayout w:type="fixed"/>
        <w:tblCellMar>
          <w:top w:w="28" w:type="dxa"/>
          <w:left w:w="28" w:type="dxa"/>
          <w:bottom w:w="28" w:type="dxa"/>
          <w:right w:w="28" w:type="dxa"/>
        </w:tblCellMar>
      </w:tblPr>
      <w:tblGrid>
        <w:gridCol w:w="908"/>
        <w:gridCol w:w="797"/>
        <w:gridCol w:w="800"/>
        <w:gridCol w:w="211"/>
        <w:gridCol w:w="826"/>
        <w:gridCol w:w="109"/>
        <w:gridCol w:w="109"/>
        <w:gridCol w:w="109"/>
        <w:gridCol w:w="109"/>
        <w:gridCol w:w="296"/>
        <w:gridCol w:w="865"/>
        <w:gridCol w:w="152"/>
        <w:gridCol w:w="109"/>
        <w:gridCol w:w="109"/>
        <w:gridCol w:w="109"/>
        <w:gridCol w:w="211"/>
        <w:gridCol w:w="826"/>
        <w:gridCol w:w="109"/>
        <w:gridCol w:w="109"/>
        <w:gridCol w:w="109"/>
        <w:gridCol w:w="109"/>
        <w:gridCol w:w="278"/>
        <w:gridCol w:w="953"/>
        <w:gridCol w:w="144"/>
        <w:gridCol w:w="109"/>
        <w:gridCol w:w="109"/>
        <w:gridCol w:w="109"/>
        <w:gridCol w:w="273"/>
        <w:gridCol w:w="935"/>
        <w:gridCol w:w="20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 Unrealized Losses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Available-for-Sale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9,427 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municipalities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57,839 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agency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3,033 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non-agency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8,893 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agency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non-agency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6,246 </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835,634 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77,466 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83,712 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08"/>
        <w:gridCol w:w="797"/>
        <w:gridCol w:w="800"/>
        <w:gridCol w:w="211"/>
        <w:gridCol w:w="826"/>
        <w:gridCol w:w="109"/>
        <w:gridCol w:w="109"/>
        <w:gridCol w:w="109"/>
        <w:gridCol w:w="109"/>
        <w:gridCol w:w="296"/>
        <w:gridCol w:w="865"/>
        <w:gridCol w:w="152"/>
        <w:gridCol w:w="109"/>
        <w:gridCol w:w="109"/>
        <w:gridCol w:w="109"/>
        <w:gridCol w:w="211"/>
        <w:gridCol w:w="826"/>
        <w:gridCol w:w="109"/>
        <w:gridCol w:w="109"/>
        <w:gridCol w:w="109"/>
        <w:gridCol w:w="109"/>
        <w:gridCol w:w="278"/>
        <w:gridCol w:w="953"/>
        <w:gridCol w:w="144"/>
        <w:gridCol w:w="109"/>
        <w:gridCol w:w="109"/>
        <w:gridCol w:w="109"/>
        <w:gridCol w:w="273"/>
        <w:gridCol w:w="935"/>
        <w:gridCol w:w="204"/>
      </w:tblGrid>
      <w:tr>
        <w:trPr/>
        <w:tc>
          <w:tcPr>
            <w:tcW w:w="908"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More Than Twelve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 Unrealized Losses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Securities Available-for-Sale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Treasuries and government agencies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of states and municipalities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59,944 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agency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 backed - non-agency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5,211 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agency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backed - non-agency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209,397 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2,135 </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880,574 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78,547 </w:t>
            </w:r>
          </w:p>
        </w:tc>
        <w:tc>
          <w:tcPr>
            <w:tcW w:w="1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80,682 </w:t>
            </w:r>
          </w:p>
        </w:tc>
        <w:tc>
          <w:tcPr>
            <w:tcW w:w="2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required to conduct an impairment evaluation on AFS securities to determine whether the Company has the intent to sell the security or it is more likely than not that it will be required to sell the security before recovery. If these situations apply, the guidance requires the Company to reduce the security’s amortized cost basis down to its fair value through earnings. The Company also evaluates the unrealized losses on AFS securities to determine if a security’s decline in fair value below its amortized cost basis is due to credit factors. The evaluation is based upon factors such as the creditworthiness of the underlying borrowers, performance of the underlying collateral, if applicable, and the level of credit support in the security structure. Management also evaluates other factors and circumstances that may be indicative of a decline in the fair value of the security due to a credit factor.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This includes, but is not limited to, an evaluation of the type of security, length of time and extent to which the fair value has been less than cost, and near-term prospects of the issuer. If this assessment indicates that a credit loss exists, the present value of the expected cash flows of the security is compared to the amortized cost basis of the security. If the present value of the cash flows expected to be collected is less than the amortized cost, an allowance for credit losses (“ACL”) is recorded for the credit loss, limited by the amount that the fair value is less than the amortized cost basis under the current expected credit loss (“CECL”) standard, and declines due to non-credit factors are recorded in accumulated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Securities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comprehensive income (“AOCI”), net of taxes. If a credit loss is recognized in earnings, subsequent improvements to the expectation of collectability will be recognized through the ACL. If the fair value of the security increases above its amortized cost, the unrealized gain will be recorded in accumulated other comprehensive income, net of taxes, in the Consolidated Balance Sheets.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 ACL on the AFS securities as of June 30, 2026, or December 31, 2025. The Company considers the unrealized losses on the AFS securities to be related to fluctuations in market conditions, primarily interest rates, and not reflective of deterioration in credit. The Company had 454 securities in an unrealized loss position as of June 30, 2026. The Company has evaluated AFS securities in an unrealized loss position for credit-related impairment at June 30, 2026, and concluded no impairment existed based on a combination of factors, which included: (1) the securities are of high credit quality, (2) unrealized losses are primarily the result of market volatility and increases in market interest rates, (3) the contractual terms of the investments do not permit the issuer(s) to settle the securities at a price less than the par value of each investment, (4) issuers continue to make timely principal and interest payments, and (5) the Company does not intend to sell any of the investments and the accounting standard of “more likely than not” has not been met for the Company to be required to sell any of the investments before recovery of its amortized cost basis. As such, there was no ACL on AFS securities at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of U.S. Treasury and Federal Agencies and Federal Agency Mortgage (Residential and Commercial) Backed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the unrealized losses associated with 10 U.S. Treasuries and Government Agency securities, 63 Residential Mortgage Backed – Agency securities, and 25 Commercial Mortgage Backed – Agency securities were generally driven by changes in interest rates and not due to credit losses given the explicit or implicit guarantees provided by the U.S. government. Therefore, the Company has concluded that the unrealized losses for these securities do not require an ACL at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Securities of U.S. States and Municipalities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the unrealized losses associated with 257 State and Municipal securities were primarily caused by changes in interest rates and not the credit quality of the securities. These securities are investment grade and were generally underwritten in accordance with our own investment standards prior to the decision to purchase, without relying on a bond insurer’s guarantee in making the investment decision. These securities will continue to be monitored as part of our ongoing impairment analysis but are expected to perform, even if the rating agencies reduce the credit rating of the bond insurers. As a result, we expect to recover the entire amortized cost basis of these securities. Therefore, the Company has concluded that the unrealized losses for these securities do not require an ACL at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Residential &amp; Commercial Mortgage Backed – Non-Agency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the unrealized losses associated with 67 Residential Mortgage Backed – Non-Agency securities and 8 Commercial Mortgage Backed – Non-Agency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Asset-Backed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the unrealized losses associated with 17 Asset-Backed securities were generally driven by changes in interest rates, credit spreads, and projected collateral losses. We assess for credit impairment by estimating the present value of expected cash flows. The key assumptions for determining expected cash flows include default rates, loss severities, and/or prepayment rates. Based on our assessment of the expected credit losses and the credit enhancement level of the securities, we expect to recover the entire amortized cost of these securities. Therefore, the Company has concluded that the unrealized losses for these securities do not require an ACL at June 30,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At June 30, 2026, the unrealized losses associated with 7 securities were primarily driven by interest rates and not the credit quality of the securities. These investments were underwritten in accordance with our own investment standards prior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Securities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decision to purchase, without relying on a bond insurer’s guarantee in making the investment decision. Based on our assessment of the expected credit losses, we expect to recover the entire amortized cost basis of the securities. Therefore, the Company has concluded that the unrealized losses for these securities do not require an ACL at June 30,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Restricted stock, at cost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investment in Federal Home Loan Bank (“FHLB”) stock totaled $31.9 million and $26.8 million at June 30, 2026, and December 31, 2025, respectively. The Company’s investment in Federal Reserve Bank stock totaled $24.0 million and $14.8 million at June 30, 2026, and December 31, 2025, respectively. FHLB and Federal Reserve stock are generally viewed as long-term investments and as restricted investment securities, which are carried at cost, because there is no market for the stocks other than member institutions. Therefore, when evaluating FHLB and Federal Reserve stock for impairment, their values are based on the ultimate recoverability of the par value rather than by recognizing temporary declines in value. The Company does not consider these investments to be impaired at June 30, 2026, and no impairment has been recognized. FHLB stock and Federal Reserve stock are included in a separate line item, restricted stock, at cost on the Consolidated Balance Sheets and are not part of the Company’s AFS securities portfolio.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restricted stock line item on the Consolidated Balance Sheets also includes an investment in Community Bankers’ Bank, totaling $111 thousand at June 30, 2026, and $111 thousand at December 31, 2025, which is carried at cost and is not impaired at June 30, 2026. The Company also has other restricted investments including Independent Community Bancorp, Inc. and WV Bankers Title which are included in restricted stock on the Consolidated Balance Sheets as of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loan portfolio segments, as reported in the tables below, include (i) commercial real estate, (ii) owner-occupied commercial real estate, (iii) acquisition, construction &amp; development, (iv) commercial &amp; industrial, (v) single family residential (1-4 units), and (vi) consumer non-real estate and other. The risks associated with lending activities differ among the various loan segments and are subject to the impact of changes in interest rates, market conditions of collateral securing the loans, and general economic conditions.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Commercial real estate loans carry risk associated with either the net operating income generated from the lease of the real estate collateral or income generated from the sale of the collateral. Other risk factors include the credit-worthiness of the sponsor and the value of the collateral.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Owner-occupied commercial real estate loans carry risk associated with the operations of the business that occupies the property and the value of the collateral.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Acquisition, construction &amp; development loans carry risk associated with the credit-worthiness of the borrower, project completion within budget including the potential impact of volatile construction costs, sale after completion, and the value of the collateral.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Commercial &amp; industrial loans carry the risk associated with the operations of the business and the value of the collateral, if any.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Single family residential (1-4 units) loans for consumer purposes carry risk associated with the continued credit-worthiness of the borrower and the value of the collateral. Single family residential (1-4 units) loans for investment purpose carry risk associated with the continued credit-worthiness of the borrower, the value of the collateral, and either the net operating income generated from the lease of the real estate collateral or income generated from the sale of the collateral.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Consumer non-real estate and other loans, which includes overdrafts, carry risk associated with the credit-worthiness of the borrower and the value of the collateral,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Loans (continued)</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 balances as of June 30, 2026, and December 31, 2025, by portfolio segment were as follows (in thousands):</w:t>
      </w:r>
    </w:p>
    <w:tbl>
      <w:tblPr>
        <w:tblW w:w="6989" w:type="dxa"/>
        <w:jc w:val="left"/>
        <w:tblInd w:w="0" w:type="dxa"/>
        <w:tblLayout w:type="fixed"/>
        <w:tblCellMar>
          <w:top w:w="28" w:type="dxa"/>
          <w:left w:w="28" w:type="dxa"/>
          <w:bottom w:w="28" w:type="dxa"/>
          <w:right w:w="28" w:type="dxa"/>
        </w:tblCellMar>
      </w:tblPr>
      <w:tblGrid>
        <w:gridCol w:w="1265"/>
        <w:gridCol w:w="1113"/>
        <w:gridCol w:w="1116"/>
        <w:gridCol w:w="109"/>
        <w:gridCol w:w="109"/>
        <w:gridCol w:w="109"/>
        <w:gridCol w:w="211"/>
        <w:gridCol w:w="976"/>
        <w:gridCol w:w="109"/>
        <w:gridCol w:w="109"/>
        <w:gridCol w:w="109"/>
        <w:gridCol w:w="109"/>
        <w:gridCol w:w="243"/>
        <w:gridCol w:w="1125"/>
        <w:gridCol w:w="177"/>
      </w:tblGrid>
      <w:tr>
        <w:trPr/>
        <w:tc>
          <w:tcPr>
            <w:tcW w:w="1265"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3,898,387 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2,769,287 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461,921 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7,999,765 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5,387,676 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7,905,295 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5,319,853 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deferred loan fees included in the above loan categories totaled $7.3 million and $6.2 million at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Allowance for Credit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ACL is calculated quarterly, with any adjustment recorded to the provision for credit losses in the Consolidated Statement of Income. Management calculates the quantitative portion of collectively evaluated loans for all loan categories using the weighted average remaining maturity (“WARM”) method. For purposes of estimating the Company’s ACL, management generally evaluates collectively evaluated loans by federal call code in order to group loans with similar risk characteristics. During the quarter, management updated the calculation of expected loss rates for the ACL from an internally developed application to a third-party modeling platform. The input change had a net effect of reducing the modeled reserve by $2.4 million. As a result of this change, the largest reserve reductions occurred in the acquisition, construction &amp; development category of $6.5 million, and the commercial real estate category of $2.5 million while the modeled reserve for the single family residential category increased by $3.5 million, and owner-occupied real estate increased by $3.8 million.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Loans that do not share similar risk characteristics are evaluated on an individual loan basis and are excluded from the collective evaluation for the ACL. Loans identified to be individually evaluated under CECL include loans on non-accrual status and may include accruing loans that do not share similar risk characteristics to other accruing loans that are collectively evaluated on a loan pool basis. A specific reserve analysis is applied to the individually evaluated loans, which considers collateral value, an observable market price, or the present value of the expected future cash flows. A specific reserve is assigned if the measured value of the loan using one of the before mentioned methods is less than the carrying value of the loan.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Based on management’s analysis, adjustments may be applied for additional factors impacting the risk of loss in the loan portfolio beyond the information that is used to calculate the quantitative reserve. Management may consider an additional or reduced reserve as warranted through qualitative risk factors based on the current and expected conditions as measured in supplemental information relative to the macroeconomic variable loss drivers used to calculate a reasonable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Allowance for Credit Losses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supportable forecast and a reversion period forecast. These qualitative risk factors considered by management are largely comparable to legacy factors prior to the adoption of CECL.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the activity in the ACL for the three and six months ended June 30, 2026, and for the three and six months ended June 30, 2025, including the impact of the allowance established for Purchased Seasoned Loans (“PSL”) and Purchased Credit Deteriorated (“PCD”) loans for the six months ended June 30, 2026, (in thousands).</w:t>
      </w:r>
    </w:p>
    <w:tbl>
      <w:tblPr>
        <w:tblW w:w="10205" w:type="dxa"/>
        <w:jc w:val="left"/>
        <w:tblInd w:w="0" w:type="dxa"/>
        <w:tblLayout w:type="fixed"/>
        <w:tblCellMar>
          <w:top w:w="28" w:type="dxa"/>
          <w:left w:w="28" w:type="dxa"/>
          <w:bottom w:w="28" w:type="dxa"/>
          <w:right w:w="28" w:type="dxa"/>
        </w:tblCellMar>
      </w:tblPr>
      <w:tblGrid>
        <w:gridCol w:w="500"/>
        <w:gridCol w:w="251"/>
        <w:gridCol w:w="253"/>
        <w:gridCol w:w="109"/>
        <w:gridCol w:w="109"/>
        <w:gridCol w:w="109"/>
        <w:gridCol w:w="195"/>
        <w:gridCol w:w="585"/>
        <w:gridCol w:w="117"/>
        <w:gridCol w:w="109"/>
        <w:gridCol w:w="109"/>
        <w:gridCol w:w="109"/>
        <w:gridCol w:w="263"/>
        <w:gridCol w:w="787"/>
        <w:gridCol w:w="160"/>
        <w:gridCol w:w="109"/>
        <w:gridCol w:w="109"/>
        <w:gridCol w:w="109"/>
        <w:gridCol w:w="250"/>
        <w:gridCol w:w="751"/>
        <w:gridCol w:w="152"/>
        <w:gridCol w:w="109"/>
        <w:gridCol w:w="109"/>
        <w:gridCol w:w="109"/>
        <w:gridCol w:w="200"/>
        <w:gridCol w:w="599"/>
        <w:gridCol w:w="121"/>
        <w:gridCol w:w="109"/>
        <w:gridCol w:w="109"/>
        <w:gridCol w:w="109"/>
        <w:gridCol w:w="213"/>
        <w:gridCol w:w="637"/>
        <w:gridCol w:w="128"/>
        <w:gridCol w:w="109"/>
        <w:gridCol w:w="109"/>
        <w:gridCol w:w="109"/>
        <w:gridCol w:w="240"/>
        <w:gridCol w:w="480"/>
        <w:gridCol w:w="146"/>
        <w:gridCol w:w="109"/>
        <w:gridCol w:w="109"/>
        <w:gridCol w:w="109"/>
        <w:gridCol w:w="181"/>
        <w:gridCol w:w="541"/>
        <w:gridCol w:w="166"/>
      </w:tblGrid>
      <w:tr>
        <w:trPr/>
        <w:tc>
          <w:tcPr>
            <w:tcW w:w="5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Owner-occupied 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Acquisition, construction &amp;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Single family residential (1-4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Consumer non-real estate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16,773 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11,928 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67,955 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Allowance established for acquired PSL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Allowance established for acquired PCD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(recapture of)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(12,069)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94,470 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34,746 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11,474 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(recapture of)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(6,543)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28,113 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3,530 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12,085 </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10,643 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12,208 </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67,256 </w:t>
            </w:r>
          </w:p>
        </w:tc>
        <w:tc>
          <w:tcPr>
            <w:tcW w:w="1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00"/>
        <w:gridCol w:w="252"/>
        <w:gridCol w:w="253"/>
        <w:gridCol w:w="109"/>
        <w:gridCol w:w="109"/>
        <w:gridCol w:w="109"/>
        <w:gridCol w:w="195"/>
        <w:gridCol w:w="585"/>
        <w:gridCol w:w="117"/>
        <w:gridCol w:w="109"/>
        <w:gridCol w:w="109"/>
        <w:gridCol w:w="109"/>
        <w:gridCol w:w="263"/>
        <w:gridCol w:w="787"/>
        <w:gridCol w:w="160"/>
        <w:gridCol w:w="109"/>
        <w:gridCol w:w="109"/>
        <w:gridCol w:w="109"/>
        <w:gridCol w:w="250"/>
        <w:gridCol w:w="751"/>
        <w:gridCol w:w="152"/>
        <w:gridCol w:w="109"/>
        <w:gridCol w:w="109"/>
        <w:gridCol w:w="109"/>
        <w:gridCol w:w="200"/>
        <w:gridCol w:w="599"/>
        <w:gridCol w:w="121"/>
        <w:gridCol w:w="109"/>
        <w:gridCol w:w="109"/>
        <w:gridCol w:w="109"/>
        <w:gridCol w:w="213"/>
        <w:gridCol w:w="637"/>
        <w:gridCol w:w="128"/>
        <w:gridCol w:w="109"/>
        <w:gridCol w:w="109"/>
        <w:gridCol w:w="109"/>
        <w:gridCol w:w="240"/>
        <w:gridCol w:w="480"/>
        <w:gridCol w:w="146"/>
        <w:gridCol w:w="109"/>
        <w:gridCol w:w="109"/>
        <w:gridCol w:w="109"/>
        <w:gridCol w:w="181"/>
        <w:gridCol w:w="541"/>
        <w:gridCol w:w="165"/>
      </w:tblGrid>
      <w:tr>
        <w:trPr/>
        <w:tc>
          <w:tcPr>
            <w:tcW w:w="50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Owner-occupied commercial 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Acquisition, construction &amp;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Single family residential (1-4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Consumer non-real estate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26,190 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17,221 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12,536 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67,823 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Allowance established for acquired PSL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Allowance established for acquired PCD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(recapture of)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(12,517)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15,521 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15,090 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94,470 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30,444 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17,386 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9,763 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68,040 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Provision for (recapture of)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(2,964)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28,113 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3,530 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12,085 </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9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10,643 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12,208 </w:t>
            </w:r>
          </w:p>
        </w:tc>
        <w:tc>
          <w:tcPr>
            <w:tcW w:w="1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677 </w:t>
            </w:r>
          </w:p>
        </w:tc>
        <w:tc>
          <w:tcPr>
            <w:tcW w:w="1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67,256 </w:t>
            </w:r>
          </w:p>
        </w:tc>
        <w:tc>
          <w:tcPr>
            <w:tcW w:w="16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Allowance for Credit Losses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recorded investment in loans excludes accrued interest receivable due to immateriality. The following table presents the aging of the recorded investment in past due loans as of June 30, 2026, and December 31, 2025, by portfolio segment (in thousands):</w:t>
      </w:r>
    </w:p>
    <w:tbl>
      <w:tblPr>
        <w:tblW w:w="10720" w:type="dxa"/>
        <w:jc w:val="left"/>
        <w:tblInd w:w="0" w:type="dxa"/>
        <w:tblLayout w:type="fixed"/>
        <w:tblCellMar>
          <w:top w:w="28" w:type="dxa"/>
          <w:left w:w="28" w:type="dxa"/>
          <w:bottom w:w="28" w:type="dxa"/>
          <w:right w:w="28" w:type="dxa"/>
        </w:tblCellMar>
      </w:tblPr>
      <w:tblGrid>
        <w:gridCol w:w="511"/>
        <w:gridCol w:w="281"/>
        <w:gridCol w:w="259"/>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181"/>
        <w:gridCol w:w="616"/>
        <w:gridCol w:w="109"/>
        <w:gridCol w:w="109"/>
        <w:gridCol w:w="109"/>
        <w:gridCol w:w="109"/>
        <w:gridCol w:w="181"/>
        <w:gridCol w:w="721"/>
        <w:gridCol w:w="109"/>
        <w:gridCol w:w="109"/>
        <w:gridCol w:w="109"/>
        <w:gridCol w:w="109"/>
        <w:gridCol w:w="181"/>
        <w:gridCol w:w="721"/>
        <w:gridCol w:w="109"/>
        <w:gridCol w:w="109"/>
        <w:gridCol w:w="109"/>
        <w:gridCol w:w="109"/>
        <w:gridCol w:w="181"/>
        <w:gridCol w:w="466"/>
        <w:gridCol w:w="109"/>
        <w:gridCol w:w="109"/>
        <w:gridCol w:w="109"/>
        <w:gridCol w:w="109"/>
        <w:gridCol w:w="181"/>
        <w:gridCol w:w="541"/>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30 - 59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60 - 89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Current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90 Days Past Due or More &amp; Still Accruing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Non-accrual loans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3,844,560 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3,898,387 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1,134,199 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12,532 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12,273 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817,027 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1,580,164 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7,863,437 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7,999,765 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30 - 59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60 - 89 Days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90 Days or More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Past Due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Current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90 Days Past Due or More &amp; Still Accruing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Non-accrual loans</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2,725,185 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2,769,287 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1,127,684 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23,590 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13,512 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67,013 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104,115 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5,283,561 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5,387,676 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70,613 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Credit Quality Indicators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categorizes loans into risk categories based on relevant information about the ability of borrowers to service their debt such as: current financial information, historical payment experience, credit documentation, public information, current economic information, and other factors. The Company analyzes loans individually by classifying the loans by credit risk. The Company internally grades all commercial loans at the time of origination. In addition, the Company performs an annual review on at least 50% of the Bank’s commercial credit exposure. The Company uses the following definitions for credit risk classifications:</w:t>
      </w:r>
    </w:p>
    <w:p>
      <w:pPr>
        <w:pStyle w:val="TextBody"/>
        <w:bidi w:val="0"/>
        <w:spacing w:lineRule="auto" w:line="288" w:before="0" w:after="180"/>
        <w:jc w:val="both"/>
        <w:rPr/>
      </w:pPr>
      <w:r>
        <w:rPr>
          <w:rFonts w:ascii="Times New Roman;serif" w:hAnsi="Times New Roman;serif"/>
          <w:b/>
          <w:color w:val="000000"/>
          <w:sz w:val="20"/>
        </w:rPr>
        <w:t>Pass</w:t>
      </w:r>
      <w:r>
        <w:rPr>
          <w:rFonts w:ascii="Times New Roman;serif" w:hAnsi="Times New Roman;serif"/>
          <w:b w:val="false"/>
          <w:color w:val="000000"/>
          <w:sz w:val="20"/>
        </w:rPr>
        <w:t>: These include satisfactory loans that have acceptable levels of risk.</w:t>
      </w:r>
    </w:p>
    <w:p>
      <w:pPr>
        <w:pStyle w:val="TextBody"/>
        <w:bidi w:val="0"/>
        <w:spacing w:lineRule="auto" w:line="288" w:before="0" w:after="180"/>
        <w:jc w:val="both"/>
        <w:rPr/>
      </w:pPr>
      <w:r>
        <w:rPr>
          <w:rFonts w:ascii="Times New Roman;serif" w:hAnsi="Times New Roman;serif"/>
          <w:b/>
          <w:color w:val="000000"/>
          <w:sz w:val="20"/>
        </w:rPr>
        <w:t>Special Mention</w:t>
      </w:r>
      <w:r>
        <w:rPr>
          <w:rFonts w:ascii="Times New Roman;serif" w:hAnsi="Times New Roman;serif"/>
          <w:b w:val="false"/>
          <w:color w:val="000000"/>
          <w:sz w:val="20"/>
        </w:rPr>
        <w:t>: Loans classified as special mention have a potential credit weakness that deserves management’s close attention. If left uncorrected, these potential weaknesses may result in deterioration of the repayment prospects for the loan or of the institution’s credit position at some future date.</w:t>
      </w:r>
    </w:p>
    <w:p>
      <w:pPr>
        <w:pStyle w:val="TextBody"/>
        <w:bidi w:val="0"/>
        <w:spacing w:lineRule="auto" w:line="288" w:before="0" w:after="180"/>
        <w:jc w:val="both"/>
        <w:rPr/>
      </w:pPr>
      <w:r>
        <w:rPr>
          <w:rFonts w:ascii="Times New Roman;serif" w:hAnsi="Times New Roman;serif"/>
          <w:b/>
          <w:color w:val="000000"/>
          <w:sz w:val="20"/>
        </w:rPr>
        <w:t>Substandard</w:t>
      </w:r>
      <w:r>
        <w:rPr>
          <w:rFonts w:ascii="Times New Roman;serif" w:hAnsi="Times New Roman;serif"/>
          <w:b w:val="false"/>
          <w:color w:val="000000"/>
          <w:sz w:val="20"/>
        </w:rPr>
        <w:t xml:space="preserve">: Loans classified as substandard have a well-defined weakness or weaknesses that jeopardize the orderly liquidation of debt. Loans classified as substandard are inadequately protected by sound net worth, payment capacity of the borrower, or of the collateral pledged. If weaknesses go uncorrected, there is potential for partial loss of principal and/or interest. </w:t>
      </w:r>
    </w:p>
    <w:p>
      <w:pPr>
        <w:pStyle w:val="TextBody"/>
        <w:bidi w:val="0"/>
        <w:spacing w:lineRule="auto" w:line="288" w:before="0" w:after="180"/>
        <w:jc w:val="both"/>
        <w:rPr/>
      </w:pPr>
      <w:r>
        <w:rPr>
          <w:rFonts w:ascii="Times New Roman;serif" w:hAnsi="Times New Roman;serif"/>
          <w:b/>
          <w:color w:val="000000"/>
          <w:sz w:val="20"/>
        </w:rPr>
        <w:t>Doubtful</w:t>
      </w:r>
      <w:r>
        <w:rPr>
          <w:rFonts w:ascii="Times New Roman;serif" w:hAnsi="Times New Roman;serif"/>
          <w:b w:val="false"/>
          <w:color w:val="000000"/>
          <w:sz w:val="20"/>
        </w:rPr>
        <w:t>: Loans classified as doubtful have all the weaknesses inherent in those classified as substandard, with the added characteristic that the weaknesses make collection or liquidation in full, on the basis of currently existing facts, conditions, and values, highly questionable and unlikely.</w:t>
      </w:r>
    </w:p>
    <w:p>
      <w:pPr>
        <w:pStyle w:val="TextBody"/>
        <w:bidi w:val="0"/>
        <w:spacing w:lineRule="auto" w:line="288" w:before="0" w:after="180"/>
        <w:jc w:val="both"/>
        <w:rPr/>
      </w:pPr>
      <w:r>
        <w:rPr>
          <w:rFonts w:ascii="Times New Roman;serif" w:hAnsi="Times New Roman;serif"/>
          <w:b/>
          <w:color w:val="000000"/>
          <w:sz w:val="20"/>
        </w:rPr>
        <w:t>Loss</w:t>
      </w:r>
      <w:r>
        <w:rPr>
          <w:rFonts w:ascii="Times New Roman;serif" w:hAnsi="Times New Roman;serif"/>
          <w:b w:val="false"/>
          <w:color w:val="000000"/>
          <w:sz w:val="20"/>
        </w:rPr>
        <w:t>: Loans classified as a loss are considered to be uncollectible and cannot be justified to continue as viable assets. While there may be the possibility of some recovery in the future, it is not practical or desirable to defer writing off these loans at the present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Allowance for Credit Losses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portfolio of smaller homogenous loans that are not individually risk rated that are included within the single family residential and consumer non-real estate and other loan classes. Generally, these loan classes are rated as “Pass” unless these loans are on non-accrual and are then classified as substandard.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amortized cost basis of the loan portfolio, by year of origination, loan class, and credit quality, as of June 30, 2026, and December 31, 2025 (in thousands):</w:t>
      </w:r>
    </w:p>
    <w:tbl>
      <w:tblPr>
        <w:tblW w:w="11200" w:type="dxa"/>
        <w:jc w:val="left"/>
        <w:tblInd w:w="0" w:type="dxa"/>
        <w:tblLayout w:type="fixed"/>
        <w:tblCellMar>
          <w:top w:w="28" w:type="dxa"/>
          <w:left w:w="28" w:type="dxa"/>
          <w:bottom w:w="28" w:type="dxa"/>
          <w:right w:w="28" w:type="dxa"/>
        </w:tblCellMar>
      </w:tblPr>
      <w:tblGrid>
        <w:gridCol w:w="544"/>
        <w:gridCol w:w="268"/>
        <w:gridCol w:w="26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721"/>
        <w:gridCol w:w="109"/>
        <w:gridCol w:w="109"/>
        <w:gridCol w:w="109"/>
        <w:gridCol w:w="109"/>
        <w:gridCol w:w="181"/>
        <w:gridCol w:w="616"/>
        <w:gridCol w:w="109"/>
        <w:gridCol w:w="109"/>
        <w:gridCol w:w="109"/>
        <w:gridCol w:w="109"/>
        <w:gridCol w:w="181"/>
        <w:gridCol w:w="72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318,535 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665,435 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1,151,543 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3,642,651 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319,069 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556,630 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358,366 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1,315,688 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3,898,387 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1,152,749 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424,984 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805,188 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840,878 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617,424 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1,583,871 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167,483 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622,262 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1,605,524 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Allowance for Credit Losses (continued)</w:t>
      </w:r>
    </w:p>
    <w:tbl>
      <w:tblPr>
        <w:tblW w:w="11170" w:type="dxa"/>
        <w:jc w:val="left"/>
        <w:tblInd w:w="0" w:type="dxa"/>
        <w:tblLayout w:type="fixed"/>
        <w:tblCellMar>
          <w:top w:w="28" w:type="dxa"/>
          <w:left w:w="28" w:type="dxa"/>
          <w:bottom w:w="28" w:type="dxa"/>
          <w:right w:w="28" w:type="dxa"/>
        </w:tblCellMar>
      </w:tblPr>
      <w:tblGrid>
        <w:gridCol w:w="352"/>
        <w:gridCol w:w="244"/>
        <w:gridCol w:w="245"/>
        <w:gridCol w:w="109"/>
        <w:gridCol w:w="109"/>
        <w:gridCol w:w="109"/>
        <w:gridCol w:w="181"/>
        <w:gridCol w:w="616"/>
        <w:gridCol w:w="109"/>
        <w:gridCol w:w="109"/>
        <w:gridCol w:w="109"/>
        <w:gridCol w:w="109"/>
        <w:gridCol w:w="181"/>
        <w:gridCol w:w="721"/>
        <w:gridCol w:w="109"/>
        <w:gridCol w:w="109"/>
        <w:gridCol w:w="109"/>
        <w:gridCol w:w="109"/>
        <w:gridCol w:w="181"/>
        <w:gridCol w:w="616"/>
        <w:gridCol w:w="109"/>
        <w:gridCol w:w="109"/>
        <w:gridCol w:w="109"/>
        <w:gridCol w:w="109"/>
        <w:gridCol w:w="181"/>
        <w:gridCol w:w="616"/>
        <w:gridCol w:w="109"/>
        <w:gridCol w:w="109"/>
        <w:gridCol w:w="109"/>
        <w:gridCol w:w="109"/>
        <w:gridCol w:w="181"/>
        <w:gridCol w:w="721"/>
        <w:gridCol w:w="109"/>
        <w:gridCol w:w="109"/>
        <w:gridCol w:w="109"/>
        <w:gridCol w:w="109"/>
        <w:gridCol w:w="181"/>
        <w:gridCol w:w="721"/>
        <w:gridCol w:w="109"/>
        <w:gridCol w:w="109"/>
        <w:gridCol w:w="109"/>
        <w:gridCol w:w="109"/>
        <w:gridCol w:w="181"/>
        <w:gridCol w:w="616"/>
        <w:gridCol w:w="109"/>
        <w:gridCol w:w="109"/>
        <w:gridCol w:w="109"/>
        <w:gridCol w:w="109"/>
        <w:gridCol w:w="181"/>
        <w:gridCol w:w="72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592,484 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1,084,426 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721,325 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880,251 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1,241,544 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2,535,642 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944,093 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7,999,765 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095" w:type="dxa"/>
        <w:jc w:val="left"/>
        <w:tblInd w:w="0" w:type="dxa"/>
        <w:tblLayout w:type="fixed"/>
        <w:tblCellMar>
          <w:top w:w="28" w:type="dxa"/>
          <w:left w:w="28" w:type="dxa"/>
          <w:bottom w:w="28" w:type="dxa"/>
          <w:right w:w="28" w:type="dxa"/>
        </w:tblCellMar>
      </w:tblPr>
      <w:tblGrid>
        <w:gridCol w:w="544"/>
        <w:gridCol w:w="268"/>
        <w:gridCol w:w="26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721"/>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7"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December 31, 2025</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Term Loans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383,808 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620,673 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2,517,327 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185,869 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324,565 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398,041 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434,553 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709,671 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146,786 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2,769,287 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593,120 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27,499 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142,991 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29,035 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461,921 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Allowance for Credit Losses (continued)</w:t>
      </w:r>
    </w:p>
    <w:tbl>
      <w:tblPr>
        <w:tblW w:w="10960" w:type="dxa"/>
        <w:jc w:val="left"/>
        <w:tblInd w:w="0" w:type="dxa"/>
        <w:tblLayout w:type="fixed"/>
        <w:tblCellMar>
          <w:top w:w="28" w:type="dxa"/>
          <w:left w:w="28" w:type="dxa"/>
          <w:bottom w:w="28" w:type="dxa"/>
          <w:right w:w="28" w:type="dxa"/>
        </w:tblCellMar>
      </w:tblPr>
      <w:tblGrid>
        <w:gridCol w:w="352"/>
        <w:gridCol w:w="244"/>
        <w:gridCol w:w="245"/>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616"/>
        <w:gridCol w:w="109"/>
        <w:gridCol w:w="109"/>
        <w:gridCol w:w="109"/>
        <w:gridCol w:w="109"/>
        <w:gridCol w:w="181"/>
        <w:gridCol w:w="721"/>
        <w:gridCol w:w="109"/>
        <w:gridCol w:w="109"/>
        <w:gridCol w:w="109"/>
        <w:gridCol w:w="109"/>
        <w:gridCol w:w="181"/>
        <w:gridCol w:w="616"/>
        <w:gridCol w:w="109"/>
        <w:gridCol w:w="109"/>
        <w:gridCol w:w="109"/>
        <w:gridCol w:w="109"/>
        <w:gridCol w:w="181"/>
        <w:gridCol w:w="721"/>
        <w:gridCol w:w="154"/>
      </w:tblGrid>
      <w:tr>
        <w:trPr/>
        <w:tc>
          <w:tcPr>
            <w:tcW w:w="35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180,837 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1,118,004 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133,098 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182,214 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169,052 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1,127,684 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Special Mention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Substandard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Doubtful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48,794 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Year to date gross charge-offs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592,281 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499,751 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770,492 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879,537 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710,263 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1,311,327 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624,025 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5,387,676 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collateral-dependent loans that were individually evaluated for purposes of determining the ACL as of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868"/>
        <w:gridCol w:w="741"/>
        <w:gridCol w:w="619"/>
        <w:gridCol w:w="109"/>
        <w:gridCol w:w="109"/>
        <w:gridCol w:w="109"/>
        <w:gridCol w:w="229"/>
        <w:gridCol w:w="757"/>
        <w:gridCol w:w="127"/>
        <w:gridCol w:w="109"/>
        <w:gridCol w:w="109"/>
        <w:gridCol w:w="109"/>
        <w:gridCol w:w="254"/>
        <w:gridCol w:w="837"/>
        <w:gridCol w:w="140"/>
        <w:gridCol w:w="109"/>
        <w:gridCol w:w="109"/>
        <w:gridCol w:w="109"/>
        <w:gridCol w:w="329"/>
        <w:gridCol w:w="1087"/>
        <w:gridCol w:w="183"/>
        <w:gridCol w:w="109"/>
        <w:gridCol w:w="109"/>
        <w:gridCol w:w="109"/>
        <w:gridCol w:w="229"/>
        <w:gridCol w:w="757"/>
        <w:gridCol w:w="127"/>
        <w:gridCol w:w="109"/>
        <w:gridCol w:w="109"/>
        <w:gridCol w:w="109"/>
        <w:gridCol w:w="251"/>
        <w:gridCol w:w="828"/>
        <w:gridCol w:w="207"/>
      </w:tblGrid>
      <w:tr>
        <w:trPr/>
        <w:tc>
          <w:tcPr>
            <w:tcW w:w="86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 No Related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Allowance</w:t>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2,885 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12,414 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5,837 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 family residential (1-4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14,792 </w:t>
            </w:r>
          </w:p>
        </w:tc>
        <w:tc>
          <w:tcPr>
            <w:tcW w:w="1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46,721 </w:t>
            </w:r>
          </w:p>
        </w:tc>
        <w:tc>
          <w:tcPr>
            <w:tcW w:w="1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90,115 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14,792 </w:t>
            </w:r>
          </w:p>
        </w:tc>
        <w:tc>
          <w:tcPr>
            <w:tcW w:w="2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78"/>
        <w:gridCol w:w="717"/>
        <w:gridCol w:w="663"/>
        <w:gridCol w:w="109"/>
        <w:gridCol w:w="109"/>
        <w:gridCol w:w="109"/>
        <w:gridCol w:w="230"/>
        <w:gridCol w:w="761"/>
        <w:gridCol w:w="127"/>
        <w:gridCol w:w="109"/>
        <w:gridCol w:w="109"/>
        <w:gridCol w:w="109"/>
        <w:gridCol w:w="273"/>
        <w:gridCol w:w="776"/>
        <w:gridCol w:w="152"/>
        <w:gridCol w:w="109"/>
        <w:gridCol w:w="109"/>
        <w:gridCol w:w="109"/>
        <w:gridCol w:w="334"/>
        <w:gridCol w:w="1101"/>
        <w:gridCol w:w="185"/>
        <w:gridCol w:w="109"/>
        <w:gridCol w:w="109"/>
        <w:gridCol w:w="109"/>
        <w:gridCol w:w="230"/>
        <w:gridCol w:w="761"/>
        <w:gridCol w:w="127"/>
        <w:gridCol w:w="109"/>
        <w:gridCol w:w="109"/>
        <w:gridCol w:w="109"/>
        <w:gridCol w:w="269"/>
        <w:gridCol w:w="766"/>
        <w:gridCol w:w="220"/>
      </w:tblGrid>
      <w:tr>
        <w:trPr/>
        <w:tc>
          <w:tcPr>
            <w:tcW w:w="878"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2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0"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With No Related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Allowance</w:t>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38,173 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3,939 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9,276 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 family residential (1-4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23,085 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9,632 </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0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45,636 </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68,721 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9,632 </w:t>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Allowance for Credit Losses (continued)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Purchased Credit Deteriorated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purchased loans relating to the LNKB Merger for which there was, at acquisition, evidence of more than insignificant deterioration of credit quality since origination. The carrying amount of those loans, at acquisition, is as follows (in thousands):</w:t>
      </w:r>
    </w:p>
    <w:tbl>
      <w:tblPr>
        <w:tblW w:w="4577" w:type="dxa"/>
        <w:jc w:val="left"/>
        <w:tblInd w:w="0" w:type="dxa"/>
        <w:tblLayout w:type="fixed"/>
        <w:tblCellMar>
          <w:top w:w="28" w:type="dxa"/>
          <w:left w:w="28" w:type="dxa"/>
          <w:bottom w:w="28" w:type="dxa"/>
          <w:right w:w="28" w:type="dxa"/>
        </w:tblCellMar>
      </w:tblPr>
      <w:tblGrid>
        <w:gridCol w:w="1177"/>
        <w:gridCol w:w="1035"/>
        <w:gridCol w:w="1042"/>
        <w:gridCol w:w="109"/>
        <w:gridCol w:w="109"/>
        <w:gridCol w:w="109"/>
        <w:gridCol w:w="196"/>
        <w:gridCol w:w="646"/>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price of loans at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Allowance for credit losses at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Non-credit discount/(premium) at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Par value of acquired loans at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97,459 </w:t>
            </w:r>
          </w:p>
        </w:tc>
        <w:tc>
          <w:tcPr>
            <w:tcW w:w="15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Loan Modifications</w:t>
      </w:r>
    </w:p>
    <w:p>
      <w:pPr>
        <w:pStyle w:val="TextBody"/>
        <w:bidi w:val="0"/>
        <w:spacing w:lineRule="auto" w:line="288" w:before="0" w:after="180"/>
        <w:jc w:val="both"/>
        <w:rPr/>
      </w:pPr>
      <w:r>
        <w:rPr>
          <w:rFonts w:ascii="Times New Roman;serif" w:hAnsi="Times New Roman;serif"/>
          <w:b w:val="false"/>
          <w:color w:val="000000"/>
          <w:sz w:val="20"/>
        </w:rPr>
        <w:t xml:space="preserve">On January 1, 2023, the Company adopted ASU 2022-02 on a modified retrospective basis. ASU 2022-02 eliminates the troubled debt restructuring (“TDR”) accounting model and requires that the Company evaluate, based on the accounting for loan modifications, whether the borrower is experiencing financial difficulty, and the modification results in a more-than-insignificant direct change in the contractual cash flows and represents a new loan or a continuation of an existing loan. This change required all loan modifications to be accounted for under the general loan modification guidance in ASC 310-20, </w:t>
      </w:r>
      <w:r>
        <w:rPr>
          <w:rFonts w:ascii="Times New Roman;serif" w:hAnsi="Times New Roman;serif"/>
          <w:b w:val="false"/>
          <w:i/>
          <w:color w:val="000000"/>
          <w:sz w:val="20"/>
        </w:rPr>
        <w:t>Receivables — Nonrefundable Fees and Other Costs</w:t>
      </w:r>
      <w:r>
        <w:rPr>
          <w:rFonts w:ascii="Times New Roman;serif" w:hAnsi="Times New Roman;serif"/>
          <w:b w:val="false"/>
          <w:color w:val="000000"/>
          <w:sz w:val="20"/>
        </w:rPr>
        <w:t>, and subjects entities to new disclosure requirements on loan modifications to borrowers experiencing financial difficulty.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may modify loans to borrowers experiencing financial difficulty by providing principal forgiveness, term extension, interest rate reduction, or an other-than-insignificant payment delay. When principal forgiveness is provided, the amount of forgiveness is charged off against the ACL. The Company may also provide multiple types of modifications on an individual loan. For the six months ended June 30, 2026, and for the year ended, December 31, 2025, the Company did not extend any modifications to borrowers experiencing financial difficulty that had a more-than-insignificant direct change in the contractual cash flows of the loan.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Real Estate Owned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Real estate owned activity was as follows for the six months ended June 30, 2026, and for the year ended, December 31, 2025 (in thousands):</w:t>
      </w:r>
    </w:p>
    <w:tbl>
      <w:tblPr>
        <w:tblW w:w="6712" w:type="dxa"/>
        <w:jc w:val="left"/>
        <w:tblInd w:w="0" w:type="dxa"/>
        <w:tblLayout w:type="fixed"/>
        <w:tblCellMar>
          <w:top w:w="28" w:type="dxa"/>
          <w:left w:w="28" w:type="dxa"/>
          <w:bottom w:w="28" w:type="dxa"/>
          <w:right w:w="28" w:type="dxa"/>
        </w:tblCellMar>
      </w:tblPr>
      <w:tblGrid>
        <w:gridCol w:w="1226"/>
        <w:gridCol w:w="1079"/>
        <w:gridCol w:w="1084"/>
        <w:gridCol w:w="109"/>
        <w:gridCol w:w="109"/>
        <w:gridCol w:w="109"/>
        <w:gridCol w:w="256"/>
        <w:gridCol w:w="727"/>
        <w:gridCol w:w="142"/>
        <w:gridCol w:w="109"/>
        <w:gridCol w:w="109"/>
        <w:gridCol w:w="109"/>
        <w:gridCol w:w="334"/>
        <w:gridCol w:w="948"/>
        <w:gridCol w:w="262"/>
      </w:tblGrid>
      <w:tr>
        <w:trPr/>
        <w:tc>
          <w:tcPr>
            <w:tcW w:w="122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2,783 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acquired/transferred to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write-downs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period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2,934 </w:t>
            </w:r>
          </w:p>
        </w:tc>
        <w:tc>
          <w:tcPr>
            <w:tcW w:w="14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2,689 </w:t>
            </w:r>
          </w:p>
        </w:tc>
        <w:tc>
          <w:tcPr>
            <w:tcW w:w="262"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Deposits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amount of time deposits that meet or exceed the FDIC Insurance Limit of $250,000, was approximately $492.5 million and $295.4 million on June 30, 2026, and December 31, 2025, respectively. Brokered time deposits, which are fully insured, totaled $120.7 million and $64.4 million as of June 30, 2026, and December 31, 2025, respectively. Time deposits through the Certificate of Deposit Account Registry Service (“CDARS”) program totaled $28.5 million at June 30, 2026, compared to $22.4 million at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Deposits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remaining maturities of time deposits as of June 30, 2026, are as follows (in thousands):</w:t>
      </w:r>
    </w:p>
    <w:tbl>
      <w:tblPr>
        <w:tblW w:w="5571" w:type="dxa"/>
        <w:jc w:val="left"/>
        <w:tblInd w:w="0" w:type="dxa"/>
        <w:tblLayout w:type="fixed"/>
        <w:tblCellMar>
          <w:top w:w="28" w:type="dxa"/>
          <w:left w:w="28" w:type="dxa"/>
          <w:bottom w:w="28" w:type="dxa"/>
          <w:right w:w="28" w:type="dxa"/>
        </w:tblCellMar>
      </w:tblPr>
      <w:tblGrid>
        <w:gridCol w:w="1525"/>
        <w:gridCol w:w="1343"/>
        <w:gridCol w:w="1362"/>
        <w:gridCol w:w="211"/>
        <w:gridCol w:w="97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six months ending, December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1,736,433 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At June 30, 2026, and December 31, 2025, amounts included in time deposits for individual retirement accounts totaled $159.8 million and $111.2 million,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Overdrafts of $756.0 thousand and $704.0 thousand were reclassified to loans as of June 30, 2026, and the year ended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Borrowed Funds</w:t>
      </w:r>
    </w:p>
    <w:p>
      <w:pPr>
        <w:pStyle w:val="TextBody"/>
        <w:bidi w:val="0"/>
        <w:spacing w:lineRule="auto" w:line="288" w:before="0" w:after="180"/>
        <w:jc w:val="left"/>
        <w:rPr>
          <w:rFonts w:ascii="Times New Roman;serif" w:hAnsi="Times New Roman;serif"/>
          <w:b/>
          <w:i/>
          <w:color w:val="000000"/>
          <w:sz w:val="20"/>
          <w:u w:val="single"/>
        </w:rPr>
      </w:pPr>
      <w:r>
        <w:rPr>
          <w:rFonts w:ascii="Times New Roman;serif" w:hAnsi="Times New Roman;serif"/>
          <w:b/>
          <w:i/>
          <w:color w:val="000000"/>
          <w:sz w:val="20"/>
          <w:u w:val="single"/>
        </w:rPr>
        <w:t>Short-term borrowings</w:t>
      </w:r>
    </w:p>
    <w:p>
      <w:pPr>
        <w:pStyle w:val="TextBody"/>
        <w:bidi w:val="0"/>
        <w:spacing w:lineRule="auto" w:line="288" w:before="0" w:after="180"/>
        <w:jc w:val="both"/>
        <w:rPr/>
      </w:pPr>
      <w:r>
        <w:rPr>
          <w:rFonts w:ascii="Times New Roman;serif" w:hAnsi="Times New Roman;serif"/>
          <w:b w:val="false"/>
          <w:color w:val="000000"/>
          <w:sz w:val="20"/>
        </w:rPr>
        <w:t xml:space="preserve">The Company had borrowings of $525.0 million and $450.0 million at June 30, 2026, and December 31, 2025, respectively. At June 30, 2026, the interest rate on this debt was 3.82%. At December 31, 2025, the interest rate on this debt was 3.75%. The average balance outstanding during the six months ending June 30, 2026, and the year ending December 31, 2025, was $571.2 million and $422.1 million, respectively. The Company has a finance lease liability that is not included in these balances - see </w:t>
      </w:r>
      <w:hyperlink w:anchor="ib9c5802e33ec4b258c2b42fcff6434e5_52">
        <w:r>
          <w:rPr>
            <w:rStyle w:val="InternetLink"/>
            <w:rFonts w:ascii="Times New Roman;serif" w:hAnsi="Times New Roman;serif"/>
            <w:b w:val="false"/>
            <w:color w:val="0000FF"/>
            <w:sz w:val="20"/>
            <w:u w:val="single"/>
          </w:rPr>
          <w:t>Note 7 - Leased Property</w:t>
        </w:r>
      </w:hyperlink>
      <w:r>
        <w:rPr>
          <w:color w:val="000000"/>
        </w:rPr>
        <w:t xml:space="preserve"> </w:t>
      </w:r>
      <w:r>
        <w:rPr>
          <w:rFonts w:ascii="Times New Roman;serif" w:hAnsi="Times New Roman;serif"/>
          <w:b w:val="false"/>
          <w:color w:val="000000"/>
          <w:sz w:val="20"/>
        </w:rPr>
        <w:t xml:space="preserve">for a discussion of this liability that is included in the accrued interest and other liabilities line in the Consolidated Balance Sheets.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available secured lines of credit with the Federal Reserve Bank of Richmond, such as the Borrower-In-Custody program, the FHLB of Atlanta, and unsecured federal funds lines of credit from correspondent banking relationships. Through these sources, the Company has unused capacity of $6.0 billion in remaining borrowing capacity as of June 30, 2026. The advances on credit lines are secured by both securities and loans. The lendable collateral value of securities and loans pledged against available lines of credit as of June 30, 2026, and December 31, 2025, was $5.0 billion and $3.2 billion, respectively. As of June 30, 2026, all of the Company’s borrowings will mature within one calendar year.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contractual maturities of these borrowings, which all occur within one year of the reporting date, are as follows as of June 30, 2026, (in thousands):</w:t>
      </w:r>
    </w:p>
    <w:p>
      <w:pPr>
        <w:pStyle w:val="TextBody"/>
        <w:bidi w:val="0"/>
        <w:spacing w:before="0" w:after="0"/>
        <w:jc w:val="both"/>
        <w:rPr/>
      </w:pPr>
      <w:r>
        <w:rPr/>
      </w:r>
    </w:p>
    <w:tbl>
      <w:tblPr>
        <w:tblW w:w="2315" w:type="dxa"/>
        <w:jc w:val="left"/>
        <w:tblInd w:w="0" w:type="dxa"/>
        <w:tblLayout w:type="fixed"/>
        <w:tblCellMar>
          <w:top w:w="28" w:type="dxa"/>
          <w:left w:w="28" w:type="dxa"/>
          <w:bottom w:w="28" w:type="dxa"/>
          <w:right w:w="28" w:type="dxa"/>
        </w:tblCellMar>
      </w:tblPr>
      <w:tblGrid>
        <w:gridCol w:w="407"/>
        <w:gridCol w:w="357"/>
        <w:gridCol w:w="360"/>
        <w:gridCol w:w="211"/>
        <w:gridCol w:w="826"/>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u w:val="single"/>
        </w:rPr>
      </w:pPr>
      <w:r>
        <w:rPr>
          <w:rFonts w:ascii="Times New Roman;serif" w:hAnsi="Times New Roman;serif"/>
          <w:b/>
          <w:i/>
          <w:color w:val="000000"/>
          <w:sz w:val="20"/>
          <w:u w:val="single"/>
        </w:rPr>
        <w:t>Long-term borrowings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Subordinated Debentures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merger with Summit Financial Group, Inc., which closed on May 3, 2024, (the “Summit Merger”), Burke &amp; Herbert assumed $75.0 million of subordinated debentures, that were fair valued at $61.5 million with a $13.5 million discount being amortized into interest expense over the stated maturity. As of June 30, 2026, the net balance was $72.8 million. The subordinated debt qualifies as Tier 2 capital under Federal Reserve Board guidelines, until the debt is within 5 years of its maturity; thereafter, the amount qualifying as Tier 2 capital is reduced 20% each year until maturity. The subordinated debentures were issued in the fourth quarter of 2021. This subordinated debt bears interest at a fixed rate of 3.25% per year, from acquisition date to, but excluding, December 1, 2026, payable semi-annually in arrears. From and including, December 1, 2026 to, but excluding, the maturity date or earlier redemption date, the interest rate will reset quarterly at a variable rate equal to the then current three-month term Secured Overnight Financing Rate (“SOFR”),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Borrowed Funds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published by the Federal Reserve Bank of New York, plus 230 basis points, payable quarterly in arrears. This debt has a 10-year term, and generally, is not prepayable by us within the first 5 years from issuance, which was fourth quarter 2021.</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LNKB Merger, Burke &amp; Herbert assumed $62.6 million of subordinated debentures, that were fair valued at $62.1 million with a $0.5 million discount being amortized into interest expense over the stated maturity. As of June 30, 2026, the net balance was $62.0 million. The subordinated debt qualifies as Tier 2 capital under Federal Reserve Board guidelines, until the debt is within 5 years of its maturity; thereafter, the amount qualifying as Tier 2 capital is reduced by 20% each year until maturity.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three distinct issuances of subordinated debt assumed in the LNKB Merger. The first has a face value of $20.0 million and was issued in the second quarter of 2022. This subordinated debt, which will mature on April 15, 2032, bears interest at a fixed rate of 4.50% for the period up to but excluding April 15, 2027 (the “Fixed Interest Rate Period”). From April 15, 2027, until maturity or redemption (the “Floating Interest Rate Period”), the interest rate will adjust to a floating rate of three-month SOFR plus 203 basis points. The Company pays interest in arrears semi-annually during the Fixed Interest Rate Period and quarterly during the Floating Interest Rate Period. Subject to limited exceptions, the Company cannot redeem the Notes before the fifth anniversary of the issuance date.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second issuance, with face value of $20.0 million matures on October 1, 2030, and initially bore interest at a fixed rate of 5.00% until October 1, 2025. Since October 1, 2025, to the stated maturity date or earlier redemption date, the interest rate resets semi-annually to an annual floating rate of three-month SOFR plus a spread of 475 basis points, but no less than 5.0%. The Company has the ability to redeem the notes in this issuance, in whole or in part, since October 1, 2025 plus accrued and unpaid interest. These Notes are also redeemable in whole or in part upon the occurrence of specific events defined within the indenture.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third issuance has two tranches. The first tranche was issued in January 2018, with a face value of $4.5 million, which bears interest at a fixed rate of 6.875% and matures in April 1, 2028. Interest is payable quarterly in arrears. The second tranche has a face value of $18.1 million and initially bore interest at a fixed rate of 6.00%, from June 25, 2020 up to but excluding July 1, 2025, and was payable semi-annually in arrears. From and including July 1, 2025, up to but excluding July 1, 2030, or to a redemption date, the interest rate on the second tranche shall reset quarterly to the then current three-month SOFR plus 590 basis points, payable quarterly in arrears. Beginning on July 1, 2025, through maturity, the subordinated notes may be redeemed at the Company’s option on any scheduled interest payment date. These subordinated notes mature on July 1, 2030.</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Subordinated Debentures Owed to Unconsolidated Subsidiary Trusts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Summit Merger, Burke &amp; Herbert became the sponsor for SFG Capital Trust I, SFG Capital Trust II, and SFG Capital Trust III. For each of these trusts, 100% of the common equity is owned by us. SFG Capital Trust I issued $3.5 million in capital securities and $109 thousand in common securities and invested the proceeds in $3.6 million of debentures, which were assumed by Burke &amp; Herbert in the Summit Merger. SFG Capital Trust II issued $7.5 million in capital securities and $232 thousand in common securities and invested the proceeds in $7.7 million of debentures, which were assumed by Burke &amp; Herbert in the Summit Merger. SFG Capital Trust III issued $8.0 million in capital securities and $248 thousand in common securities and invested the proceeds in $8.3 million of debentures, which were assumed by Burke &amp; Herbert in the Summit Merger. Distributions on the capital securities issued by the trusts are payable quarterly at a variable rate equal to three-month term SOFR plus 345 basis points for SFG Capital Trust I, three-month term SOFR plus 280 basis points for SFG Capital Trust II, and three-month term SOFR plus 145 basis points for SFG Capital Trust III, and equals the interest rate earned on the debentures held by the trusts and is recorded as interest expense by us. The capital securities are subject to mandatory redemption in whole, or in part, upon repayment of the debentures. We have entered into agreements which, taken collectively, fully and unconditionally guarantee the capital securities subject to the terms of the guarantee. The debentures of each Capital Trust are redeemable by us quarterly.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capital securities issued by SFG Capital Trust I, SFG Capital Trust II, and SFG Capital Trust III qualify as Tier 1 capital under the Federal Reserve guidelines. In accordance with these guidelines, trust preferred securities are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Borrowed Funds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25% of Tier 1 capital elements, net of goodwill. The amount of trust preferred securities and certain other elements in excess of the limit can be included in Tier 2 capital.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remaining maturities of subordinated debentures as of June 30, 2026, are as follows (in thousands):</w:t>
      </w:r>
    </w:p>
    <w:tbl>
      <w:tblPr>
        <w:tblW w:w="10205" w:type="dxa"/>
        <w:jc w:val="left"/>
        <w:tblInd w:w="0" w:type="dxa"/>
        <w:tblLayout w:type="fixed"/>
        <w:tblCellMar>
          <w:top w:w="28" w:type="dxa"/>
          <w:left w:w="28" w:type="dxa"/>
          <w:bottom w:w="28" w:type="dxa"/>
          <w:right w:w="28" w:type="dxa"/>
        </w:tblCellMar>
      </w:tblPr>
      <w:tblGrid>
        <w:gridCol w:w="1254"/>
        <w:gridCol w:w="1102"/>
        <w:gridCol w:w="1105"/>
        <w:gridCol w:w="343"/>
        <w:gridCol w:w="1294"/>
        <w:gridCol w:w="193"/>
        <w:gridCol w:w="109"/>
        <w:gridCol w:w="109"/>
        <w:gridCol w:w="109"/>
        <w:gridCol w:w="901"/>
        <w:gridCol w:w="2972"/>
        <w:gridCol w:w="714"/>
      </w:tblGrid>
      <w:tr>
        <w:trPr/>
        <w:tc>
          <w:tcPr>
            <w:tcW w:w="125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3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Subordinated debentures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Subordinated debentures owed to unconsolidated subsidiary trusts</w:t>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six months ending, December 31, 2026</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38,050 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19,589 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137,550 </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9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19,589 </w:t>
            </w:r>
          </w:p>
        </w:tc>
        <w:tc>
          <w:tcPr>
            <w:tcW w:w="71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Leased Property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Lessor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enters into operating leases with customers to lease vacant space in certain owned premises that is not being used by the Company. These operating leases are typically payable in monthly installments with terms ranging from around one year to around nine years and may contain renewal options. The components of lease income, which were included in non-interest expense in the occupancy line item on the Consolidated Statements of Income, were as follows (in thousands):</w:t>
      </w:r>
    </w:p>
    <w:tbl>
      <w:tblPr>
        <w:tblW w:w="7187" w:type="dxa"/>
        <w:jc w:val="left"/>
        <w:tblInd w:w="0" w:type="dxa"/>
        <w:tblLayout w:type="fixed"/>
        <w:tblCellMar>
          <w:top w:w="28" w:type="dxa"/>
          <w:left w:w="28" w:type="dxa"/>
          <w:bottom w:w="28" w:type="dxa"/>
          <w:right w:w="28" w:type="dxa"/>
        </w:tblCellMar>
      </w:tblPr>
      <w:tblGrid>
        <w:gridCol w:w="733"/>
        <w:gridCol w:w="644"/>
        <w:gridCol w:w="648"/>
        <w:gridCol w:w="109"/>
        <w:gridCol w:w="109"/>
        <w:gridCol w:w="109"/>
        <w:gridCol w:w="251"/>
        <w:gridCol w:w="556"/>
        <w:gridCol w:w="130"/>
        <w:gridCol w:w="130"/>
        <w:gridCol w:w="130"/>
        <w:gridCol w:w="130"/>
        <w:gridCol w:w="251"/>
        <w:gridCol w:w="556"/>
        <w:gridCol w:w="130"/>
        <w:gridCol w:w="109"/>
        <w:gridCol w:w="109"/>
        <w:gridCol w:w="109"/>
        <w:gridCol w:w="211"/>
        <w:gridCol w:w="616"/>
        <w:gridCol w:w="109"/>
        <w:gridCol w:w="109"/>
        <w:gridCol w:w="109"/>
        <w:gridCol w:w="109"/>
        <w:gridCol w:w="211"/>
        <w:gridCol w:w="616"/>
        <w:gridCol w:w="154"/>
      </w:tblGrid>
      <w:tr>
        <w:trPr/>
        <w:tc>
          <w:tcPr>
            <w:tcW w:w="73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remaining maturities of operating lease receivables as of June 30, 2026, are as follows (in thousands):</w:t>
      </w:r>
    </w:p>
    <w:tbl>
      <w:tblPr>
        <w:tblW w:w="5966" w:type="dxa"/>
        <w:jc w:val="left"/>
        <w:tblInd w:w="0" w:type="dxa"/>
        <w:tblLayout w:type="fixed"/>
        <w:tblCellMar>
          <w:top w:w="28" w:type="dxa"/>
          <w:left w:w="28" w:type="dxa"/>
          <w:bottom w:w="28" w:type="dxa"/>
          <w:right w:w="28" w:type="dxa"/>
        </w:tblCellMar>
      </w:tblPr>
      <w:tblGrid>
        <w:gridCol w:w="1533"/>
        <w:gridCol w:w="1346"/>
        <w:gridCol w:w="1350"/>
        <w:gridCol w:w="109"/>
        <w:gridCol w:w="109"/>
        <w:gridCol w:w="109"/>
        <w:gridCol w:w="274"/>
        <w:gridCol w:w="936"/>
        <w:gridCol w:w="200"/>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six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11,145 </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Lessee Arrangements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leases for branches and office space. The leases are evaluated for whether the lease will be classified as either a finance or operating lease. Certain leases offer the option to extend the lease term, and the Company has included such extensions in its calculation of the lease liabilities to the extent the options are reasonably assured of being exercised. Including renewal options, the terms of the Company’s leases range from less than one year to approximately twelve years. The lease agreements do not provide for residual value guarantees and have no restrictions or covenants that would impact dividends or require incurring additional financial obligations.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Lease liabilities represent the Company’s obligation to make lease payments and are presented at each reporting date as the net present value of the remaining contractual cash flows. These cash flows are discounted at the Company’s incremental borrowing rate in effect at the commencement date of the lease. The right-of-use asset and lease liability are included in other assets and other liabilities, respectively, in the Consolidated Balance Sheets.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Leased Property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Right-of-use assets and liabilities by lease type, and the associated balance sheet classifications are as follows (in thousands):</w:t>
      </w:r>
    </w:p>
    <w:tbl>
      <w:tblPr>
        <w:tblW w:w="7879" w:type="dxa"/>
        <w:jc w:val="left"/>
        <w:tblInd w:w="0" w:type="dxa"/>
        <w:tblLayout w:type="fixed"/>
        <w:tblCellMar>
          <w:top w:w="28" w:type="dxa"/>
          <w:left w:w="28" w:type="dxa"/>
          <w:bottom w:w="28" w:type="dxa"/>
          <w:right w:w="28" w:type="dxa"/>
        </w:tblCellMar>
      </w:tblPr>
      <w:tblGrid>
        <w:gridCol w:w="760"/>
        <w:gridCol w:w="668"/>
        <w:gridCol w:w="672"/>
        <w:gridCol w:w="109"/>
        <w:gridCol w:w="109"/>
        <w:gridCol w:w="109"/>
        <w:gridCol w:w="709"/>
        <w:gridCol w:w="709"/>
        <w:gridCol w:w="711"/>
        <w:gridCol w:w="109"/>
        <w:gridCol w:w="109"/>
        <w:gridCol w:w="109"/>
        <w:gridCol w:w="228"/>
        <w:gridCol w:w="779"/>
        <w:gridCol w:w="117"/>
        <w:gridCol w:w="109"/>
        <w:gridCol w:w="109"/>
        <w:gridCol w:w="109"/>
        <w:gridCol w:w="300"/>
        <w:gridCol w:w="1026"/>
        <w:gridCol w:w="219"/>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right-of-use 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33,831 </w:t>
            </w:r>
          </w:p>
        </w:tc>
        <w:tc>
          <w:tcPr>
            <w:tcW w:w="1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18,875 </w:t>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components of total lease cost were as follows (in thousands):</w:t>
      </w:r>
    </w:p>
    <w:tbl>
      <w:tblPr>
        <w:tblW w:w="7815" w:type="dxa"/>
        <w:jc w:val="left"/>
        <w:tblInd w:w="0" w:type="dxa"/>
        <w:tblLayout w:type="fixed"/>
        <w:tblCellMar>
          <w:top w:w="28" w:type="dxa"/>
          <w:left w:w="28" w:type="dxa"/>
          <w:bottom w:w="28" w:type="dxa"/>
          <w:right w:w="28" w:type="dxa"/>
        </w:tblCellMar>
      </w:tblPr>
      <w:tblGrid>
        <w:gridCol w:w="961"/>
        <w:gridCol w:w="845"/>
        <w:gridCol w:w="849"/>
        <w:gridCol w:w="109"/>
        <w:gridCol w:w="109"/>
        <w:gridCol w:w="109"/>
        <w:gridCol w:w="233"/>
        <w:gridCol w:w="681"/>
        <w:gridCol w:w="120"/>
        <w:gridCol w:w="120"/>
        <w:gridCol w:w="120"/>
        <w:gridCol w:w="120"/>
        <w:gridCol w:w="233"/>
        <w:gridCol w:w="515"/>
        <w:gridCol w:w="120"/>
        <w:gridCol w:w="109"/>
        <w:gridCol w:w="109"/>
        <w:gridCol w:w="109"/>
        <w:gridCol w:w="211"/>
        <w:gridCol w:w="616"/>
        <w:gridCol w:w="109"/>
        <w:gridCol w:w="109"/>
        <w:gridCol w:w="109"/>
        <w:gridCol w:w="109"/>
        <w:gridCol w:w="211"/>
        <w:gridCol w:w="61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1,873 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Company’s future undiscounted lease payments for finance and operating leases with initial terms of one year or more as of June 30, 2026, are as follows (in thousands):</w:t>
      </w:r>
    </w:p>
    <w:tbl>
      <w:tblPr>
        <w:tblW w:w="7477" w:type="dxa"/>
        <w:jc w:val="left"/>
        <w:tblInd w:w="0" w:type="dxa"/>
        <w:tblLayout w:type="fixed"/>
        <w:tblCellMar>
          <w:top w:w="28" w:type="dxa"/>
          <w:left w:w="28" w:type="dxa"/>
          <w:bottom w:w="28" w:type="dxa"/>
          <w:right w:w="28" w:type="dxa"/>
        </w:tblCellMar>
      </w:tblPr>
      <w:tblGrid>
        <w:gridCol w:w="1533"/>
        <w:gridCol w:w="1346"/>
        <w:gridCol w:w="1350"/>
        <w:gridCol w:w="109"/>
        <w:gridCol w:w="109"/>
        <w:gridCol w:w="109"/>
        <w:gridCol w:w="276"/>
        <w:gridCol w:w="946"/>
        <w:gridCol w:w="143"/>
        <w:gridCol w:w="109"/>
        <w:gridCol w:w="109"/>
        <w:gridCol w:w="109"/>
        <w:gridCol w:w="264"/>
        <w:gridCol w:w="772"/>
        <w:gridCol w:w="193"/>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six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34,802 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29,234 </w:t>
            </w:r>
          </w:p>
        </w:tc>
        <w:tc>
          <w:tcPr>
            <w:tcW w:w="14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Leased Property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about the Company’s leases as of June 30, 2026, and December 31, 2025.</w:t>
      </w:r>
    </w:p>
    <w:tbl>
      <w:tblPr>
        <w:tblW w:w="9517" w:type="dxa"/>
        <w:jc w:val="left"/>
        <w:tblInd w:w="0" w:type="dxa"/>
        <w:tblLayout w:type="fixed"/>
        <w:tblCellMar>
          <w:top w:w="28" w:type="dxa"/>
          <w:left w:w="28" w:type="dxa"/>
          <w:bottom w:w="28" w:type="dxa"/>
          <w:right w:w="28" w:type="dxa"/>
        </w:tblCellMar>
      </w:tblPr>
      <w:tblGrid>
        <w:gridCol w:w="2240"/>
        <w:gridCol w:w="1971"/>
        <w:gridCol w:w="1983"/>
        <w:gridCol w:w="109"/>
        <w:gridCol w:w="109"/>
        <w:gridCol w:w="109"/>
        <w:gridCol w:w="216"/>
        <w:gridCol w:w="631"/>
        <w:gridCol w:w="277"/>
        <w:gridCol w:w="109"/>
        <w:gridCol w:w="109"/>
        <w:gridCol w:w="109"/>
        <w:gridCol w:w="285"/>
        <w:gridCol w:w="833"/>
        <w:gridCol w:w="427"/>
      </w:tblGrid>
      <w:tr>
        <w:trPr/>
        <w:tc>
          <w:tcPr>
            <w:tcW w:w="2240"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Supplemental lease information (dollars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10.61</w:t>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6.66</w:t>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4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from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Regulatory Capital Matters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Banks and financial holding companies are subject to regulatory capital requirements administered by federal banking agencies. Capital adequacy guidelines and, additionally for banks, “prompt corrective action” regulations involve quantitative measures of assets, liabilities, and certain off-balance sheet items calculated under regulatory accounting practices. Capital amounts and classifications are also subject to qualitative judgments by regulators. Failure to meet capital requirements can initiate regulatory action. Under the Basel III Framework, an entity must hold a capital conservation buffer above the adequately capitalized risk-based capital ratios. The net unrealized gain or loss on AFS securities is not included in computing regulatory capital. Management believes as of June 30, 2026, the Company and the Bank meet all capital adequacy requirements to which they are subject. </w:t>
      </w:r>
    </w:p>
    <w:p>
      <w:pPr>
        <w:pStyle w:val="TextBody"/>
        <w:bidi w:val="0"/>
        <w:spacing w:lineRule="auto" w:line="288" w:before="0" w:after="180"/>
        <w:jc w:val="both"/>
        <w:rPr>
          <w:color w:val="000000"/>
        </w:rPr>
      </w:pPr>
      <w:r>
        <w:rPr>
          <w:color w:val="000000"/>
        </w:rPr>
        <w:t>“</w:t>
      </w:r>
      <w:r>
        <w:rPr>
          <w:rFonts w:ascii="Times New Roman;serif" w:hAnsi="Times New Roman;serif"/>
          <w:b w:val="false"/>
          <w:color w:val="000000"/>
          <w:sz w:val="20"/>
        </w:rPr>
        <w:t>Prompt corrective action” regulations provide five classifications: “well capitalized”, “adequately capitalized”, “undercapitalized”, “significantly undercapitalized”, and “critically undercapitalized”, although these terms are not used to represent overall financial condition. If “adequately capitalized”, regulatory approval is required to accept brokered deposits. If “undercapitalized”, capital distributions are limited, as is asset growth and expansion, and capital restoration plans are required. As of June 30, 2026, and December 31, 2025, the most recent notification from the FDIC categorized the Bank as “well capitalized” under the regulatory framework for “prompt corrective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Regulatory Capital Matters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actual and required capital amounts and ratios for the Company and the Bank at June 30, 2026, and December 31, 2025 (in thousands except for ratios):</w:t>
      </w:r>
    </w:p>
    <w:tbl>
      <w:tblPr>
        <w:tblW w:w="10205" w:type="dxa"/>
        <w:jc w:val="left"/>
        <w:tblInd w:w="0" w:type="dxa"/>
        <w:tblLayout w:type="fixed"/>
        <w:tblCellMar>
          <w:top w:w="28" w:type="dxa"/>
          <w:left w:w="28" w:type="dxa"/>
          <w:bottom w:w="28" w:type="dxa"/>
          <w:right w:w="28" w:type="dxa"/>
        </w:tblCellMar>
      </w:tblPr>
      <w:tblGrid>
        <w:gridCol w:w="1002"/>
        <w:gridCol w:w="553"/>
        <w:gridCol w:w="561"/>
        <w:gridCol w:w="109"/>
        <w:gridCol w:w="109"/>
        <w:gridCol w:w="109"/>
        <w:gridCol w:w="196"/>
        <w:gridCol w:w="871"/>
        <w:gridCol w:w="109"/>
        <w:gridCol w:w="109"/>
        <w:gridCol w:w="109"/>
        <w:gridCol w:w="109"/>
        <w:gridCol w:w="278"/>
        <w:gridCol w:w="278"/>
        <w:gridCol w:w="269"/>
        <w:gridCol w:w="109"/>
        <w:gridCol w:w="109"/>
        <w:gridCol w:w="109"/>
        <w:gridCol w:w="245"/>
        <w:gridCol w:w="922"/>
        <w:gridCol w:w="136"/>
        <w:gridCol w:w="136"/>
        <w:gridCol w:w="136"/>
        <w:gridCol w:w="136"/>
        <w:gridCol w:w="213"/>
        <w:gridCol w:w="213"/>
        <w:gridCol w:w="191"/>
        <w:gridCol w:w="109"/>
        <w:gridCol w:w="109"/>
        <w:gridCol w:w="109"/>
        <w:gridCol w:w="257"/>
        <w:gridCol w:w="968"/>
        <w:gridCol w:w="143"/>
        <w:gridCol w:w="143"/>
        <w:gridCol w:w="143"/>
        <w:gridCol w:w="143"/>
        <w:gridCol w:w="212"/>
        <w:gridCol w:w="212"/>
        <w:gridCol w:w="231"/>
      </w:tblGrid>
      <w:tr>
        <w:trPr/>
        <w:tc>
          <w:tcPr>
            <w:tcW w:w="100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Required Capital - Basel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Minimum Required to be Well Capitalized</w:t>
            </w:r>
          </w:p>
        </w:tc>
      </w:tr>
      <w:tr>
        <w:trPr/>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Ratio</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to risk 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1,310,782 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14.43 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953,726 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 xml:space="preserve">10.5%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908,311 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1,299,177 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14.31 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953,467 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908,064 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xml:space="preserve">≥ </w:t>
            </w:r>
            <w:r>
              <w:rPr>
                <w:rFonts w:ascii="Times New Roman;serif" w:hAnsi="Times New Roman;serif"/>
                <w:b w:val="false"/>
                <w:color w:val="000000"/>
                <w:sz w:val="16"/>
              </w:rPr>
              <w:t>10.0%</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(Core)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12.08 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772,064 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726,648 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Burke &amp; Herbert Bank &amp;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771,854 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726,451 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xml:space="preserve">≥ </w:t>
            </w:r>
            <w:r>
              <w:rPr>
                <w:rFonts w:ascii="Times New Roman;serif" w:hAnsi="Times New Roman;serif"/>
                <w:b w:val="false"/>
                <w:color w:val="000000"/>
                <w:sz w:val="16"/>
              </w:rPr>
              <w:t>8.0</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Tier 1 (CET 1)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11.78 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635,817 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590,402 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635,645 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590,241 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xml:space="preserve">≥ </w:t>
            </w:r>
            <w:r>
              <w:rPr>
                <w:rFonts w:ascii="Times New Roman;serif" w:hAnsi="Times New Roman;serif"/>
                <w:b w:val="false"/>
                <w:color w:val="000000"/>
                <w:sz w:val="16"/>
              </w:rPr>
              <w:t>6.5</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(Core) Capital to average assets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396,431 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495,538 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Burke &amp; Herbert Bank &amp;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394,692 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493,365 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5.0</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Capital to risk 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1,004,898 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16.17 </w:t>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652,648 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621,570 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650,649 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619,665 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xml:space="preserve">≥ </w:t>
            </w:r>
            <w:r>
              <w:rPr>
                <w:rFonts w:ascii="Times New Roman;serif" w:hAnsi="Times New Roman;serif"/>
                <w:b w:val="false"/>
                <w:color w:val="000000"/>
                <w:sz w:val="16"/>
              </w:rPr>
              <w:t>10.0%</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(Core) Capital to risk 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13.89 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528,334 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497,256 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Burke &amp; Herbert Bank &amp;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526,716 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495,732 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xml:space="preserve">≥ </w:t>
            </w:r>
            <w:r>
              <w:rPr>
                <w:rFonts w:ascii="Times New Roman;serif" w:hAnsi="Times New Roman;serif"/>
                <w:b w:val="false"/>
                <w:color w:val="000000"/>
                <w:sz w:val="16"/>
              </w:rPr>
              <w:t>8.0</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Tier 1 (CET 1)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835,976 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435,099 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404,020 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Burke &amp; Herbert Bank &amp;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433,766 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402,782 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xml:space="preserve">≥ </w:t>
            </w:r>
            <w:r>
              <w:rPr>
                <w:rFonts w:ascii="Times New Roman;serif" w:hAnsi="Times New Roman;serif"/>
                <w:b w:val="false"/>
                <w:color w:val="000000"/>
                <w:sz w:val="16"/>
              </w:rPr>
              <w:t>6.5</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Tier 1 (Core) Capital to average assets (leverage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Consolidated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316,492 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395,615 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2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Burke &amp; Herbert Bank &amp;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11.59 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315,898 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394,873 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xml:space="preserve">≥ </w:t>
            </w:r>
            <w:r>
              <w:rPr>
                <w:rFonts w:ascii="Times New Roman;serif" w:hAnsi="Times New Roman;serif"/>
                <w:b w:val="false"/>
                <w:color w:val="000000"/>
                <w:sz w:val="16"/>
              </w:rPr>
              <w:t>5.0</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principal source of funds for dividend payments is dividends received from the Bank. Banking regulations limit the amount of dividends that may be paid without prior approval of regulatory agencies. As of June 30, 2026, approximately $345.7 million of retained earnings was available for dividend declaration consistent with the Company’s capital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Derivatives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utilizes interest rate swap agreements as part of its asset liability management strategy to help manage its interest rate risk position. The notional amount of the interest rate swaps does not represent amounts exchanged by the parties. The amount exchanged is determined by reference to the notional amount and the other terms of the individual interest rate swap agreements.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Cash flow hedges of interest rate risk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objective in using interest rate derivatives is to add stability to net interest income and to manage its exposure to interest rate movements. To accomplish this objective, the Company primarily uses interest rate swaps, caps, and floors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 As of June 30, 2026, such derivatives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Derivatives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used to hedge the variable cash flows associated with variable-rate liabilities. As of June 30, 2025, such derivatives were used to hedge the variable cash flows associated with variable-rate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derivatives designated and that qualify as cash flow hedges of interest rate risk, the gain or loss on the derivative is recorded in AOCI and subsequently reclassified into interest expense or interest income in the same period(s) during which the hedged transaction affects earnings. During the next twelve months, the Company estimates that an additional $1.8 million will be reclassified as a reduction in interest expense. </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 not designated as hedges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interest rate swaps with its loan customers to facilitate their financing requests. Upon entering into swaps with our loan customers, the Company will enter into corresponding offsetting derivatives with third parties. These derivatives represent economic hedges and do not qualify as hedges for accounting. These back-to-back interest rate swaps are reported at fair value in other assets and accrued interest and other liabilities in the Company’s Consolidated Balance Sheets. Changes in the fair value of interest rate swaps are recorded in other non-interest expense in the other operating line item and sum to zero because of offsetting terms of swaps with borrowers and swaps with dealer counterparties.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fair value of the Company’s derivative financial instruments, which includes accrued interest, as well as their classification on the Consolidated Balance Sheets as of June 30, 2026, and December 31, 2025 (in thousands):</w:t>
      </w:r>
    </w:p>
    <w:tbl>
      <w:tblPr>
        <w:tblW w:w="8622" w:type="dxa"/>
        <w:jc w:val="left"/>
        <w:tblInd w:w="0" w:type="dxa"/>
        <w:tblLayout w:type="fixed"/>
        <w:tblCellMar>
          <w:top w:w="28" w:type="dxa"/>
          <w:left w:w="28" w:type="dxa"/>
          <w:bottom w:w="28" w:type="dxa"/>
          <w:right w:w="28" w:type="dxa"/>
        </w:tblCellMar>
      </w:tblPr>
      <w:tblGrid>
        <w:gridCol w:w="1385"/>
        <w:gridCol w:w="1218"/>
        <w:gridCol w:w="1221"/>
        <w:gridCol w:w="599"/>
        <w:gridCol w:w="599"/>
        <w:gridCol w:w="601"/>
        <w:gridCol w:w="109"/>
        <w:gridCol w:w="109"/>
        <w:gridCol w:w="109"/>
        <w:gridCol w:w="251"/>
        <w:gridCol w:w="984"/>
        <w:gridCol w:w="129"/>
        <w:gridCol w:w="109"/>
        <w:gridCol w:w="109"/>
        <w:gridCol w:w="109"/>
        <w:gridCol w:w="211"/>
        <w:gridCol w:w="61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hedges:</w:t>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related to cash flow hedges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related to cash flow hedges</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hedges:</w:t>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related to customer loans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related to customer loans</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270,514 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22" w:type="dxa"/>
        <w:jc w:val="left"/>
        <w:tblInd w:w="0" w:type="dxa"/>
        <w:tblLayout w:type="fixed"/>
        <w:tblCellMar>
          <w:top w:w="28" w:type="dxa"/>
          <w:left w:w="28" w:type="dxa"/>
          <w:bottom w:w="28" w:type="dxa"/>
          <w:right w:w="28" w:type="dxa"/>
        </w:tblCellMar>
      </w:tblPr>
      <w:tblGrid>
        <w:gridCol w:w="1385"/>
        <w:gridCol w:w="1218"/>
        <w:gridCol w:w="1221"/>
        <w:gridCol w:w="599"/>
        <w:gridCol w:w="599"/>
        <w:gridCol w:w="601"/>
        <w:gridCol w:w="109"/>
        <w:gridCol w:w="109"/>
        <w:gridCol w:w="109"/>
        <w:gridCol w:w="251"/>
        <w:gridCol w:w="984"/>
        <w:gridCol w:w="129"/>
        <w:gridCol w:w="109"/>
        <w:gridCol w:w="109"/>
        <w:gridCol w:w="109"/>
        <w:gridCol w:w="211"/>
        <w:gridCol w:w="61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Notional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designated as hedges:</w:t>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related to cash flow hedges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related to cash flow hedges</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Derivatives not designated as hedges:</w:t>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related to customer loans</w:t>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related to customer loans</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Derivatives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table below presents the effect of cash flow hedge accounting on AOCI for the three months ended June 30, 2026, and June 30,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76"/>
        <w:gridCol w:w="330"/>
        <w:gridCol w:w="332"/>
        <w:gridCol w:w="109"/>
        <w:gridCol w:w="109"/>
        <w:gridCol w:w="109"/>
        <w:gridCol w:w="241"/>
        <w:gridCol w:w="520"/>
        <w:gridCol w:w="136"/>
        <w:gridCol w:w="109"/>
        <w:gridCol w:w="109"/>
        <w:gridCol w:w="109"/>
        <w:gridCol w:w="275"/>
        <w:gridCol w:w="591"/>
        <w:gridCol w:w="153"/>
        <w:gridCol w:w="109"/>
        <w:gridCol w:w="109"/>
        <w:gridCol w:w="109"/>
        <w:gridCol w:w="280"/>
        <w:gridCol w:w="582"/>
        <w:gridCol w:w="158"/>
        <w:gridCol w:w="109"/>
        <w:gridCol w:w="109"/>
        <w:gridCol w:w="109"/>
        <w:gridCol w:w="307"/>
        <w:gridCol w:w="278"/>
        <w:gridCol w:w="279"/>
        <w:gridCol w:w="109"/>
        <w:gridCol w:w="109"/>
        <w:gridCol w:w="109"/>
        <w:gridCol w:w="238"/>
        <w:gridCol w:w="511"/>
        <w:gridCol w:w="132"/>
        <w:gridCol w:w="109"/>
        <w:gridCol w:w="109"/>
        <w:gridCol w:w="109"/>
        <w:gridCol w:w="289"/>
        <w:gridCol w:w="620"/>
        <w:gridCol w:w="161"/>
        <w:gridCol w:w="109"/>
        <w:gridCol w:w="109"/>
        <w:gridCol w:w="109"/>
        <w:gridCol w:w="288"/>
        <w:gridCol w:w="598"/>
        <w:gridCol w:w="241"/>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Derivatives in Cash Flow</w:t>
              <w:br/>
              <w:t>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Location of Gain or (Loss) Reclassified from 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 xml:space="preserve">Amount of Gain or (Loss) Recognized in OCI on Derivative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Recognized in OCI Included Component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Recognized in OCI Excluded 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 Included Component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 Excluded Component</w:t>
            </w:r>
          </w:p>
        </w:tc>
      </w:tr>
      <w:tr>
        <w:trPr/>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6"/>
        <w:gridCol w:w="330"/>
        <w:gridCol w:w="332"/>
        <w:gridCol w:w="109"/>
        <w:gridCol w:w="109"/>
        <w:gridCol w:w="109"/>
        <w:gridCol w:w="241"/>
        <w:gridCol w:w="520"/>
        <w:gridCol w:w="136"/>
        <w:gridCol w:w="109"/>
        <w:gridCol w:w="109"/>
        <w:gridCol w:w="109"/>
        <w:gridCol w:w="275"/>
        <w:gridCol w:w="591"/>
        <w:gridCol w:w="153"/>
        <w:gridCol w:w="109"/>
        <w:gridCol w:w="109"/>
        <w:gridCol w:w="109"/>
        <w:gridCol w:w="280"/>
        <w:gridCol w:w="582"/>
        <w:gridCol w:w="158"/>
        <w:gridCol w:w="109"/>
        <w:gridCol w:w="109"/>
        <w:gridCol w:w="109"/>
        <w:gridCol w:w="307"/>
        <w:gridCol w:w="278"/>
        <w:gridCol w:w="279"/>
        <w:gridCol w:w="109"/>
        <w:gridCol w:w="109"/>
        <w:gridCol w:w="109"/>
        <w:gridCol w:w="238"/>
        <w:gridCol w:w="511"/>
        <w:gridCol w:w="132"/>
        <w:gridCol w:w="109"/>
        <w:gridCol w:w="109"/>
        <w:gridCol w:w="109"/>
        <w:gridCol w:w="289"/>
        <w:gridCol w:w="620"/>
        <w:gridCol w:w="161"/>
        <w:gridCol w:w="109"/>
        <w:gridCol w:w="109"/>
        <w:gridCol w:w="109"/>
        <w:gridCol w:w="288"/>
        <w:gridCol w:w="598"/>
        <w:gridCol w:w="241"/>
      </w:tblGrid>
      <w:tr>
        <w:trPr/>
        <w:tc>
          <w:tcPr>
            <w:tcW w:w="37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10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Derivatives in Cash Flow</w:t>
              <w:br/>
              <w:t>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Location of Gain or (Loss) Reclassified from 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 xml:space="preserve">Amount of Gain or (Loss) Recognized in OCI on Derivative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Recognized in OCI Included Component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Recognized in OCI Excluded 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 Included Component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 Excluded Component</w:t>
            </w:r>
          </w:p>
        </w:tc>
      </w:tr>
      <w:tr>
        <w:trPr/>
        <w:tc>
          <w:tcPr>
            <w:tcW w:w="10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6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effect of cash flow hedge accounting on AOCI for the six months ended June 30, 2026, and June 30, 2025 (in thousands):</w:t>
      </w:r>
    </w:p>
    <w:tbl>
      <w:tblPr>
        <w:tblW w:w="10205" w:type="dxa"/>
        <w:jc w:val="left"/>
        <w:tblInd w:w="0" w:type="dxa"/>
        <w:tblLayout w:type="fixed"/>
        <w:tblCellMar>
          <w:top w:w="28" w:type="dxa"/>
          <w:left w:w="28" w:type="dxa"/>
          <w:bottom w:w="28" w:type="dxa"/>
          <w:right w:w="28" w:type="dxa"/>
        </w:tblCellMar>
      </w:tblPr>
      <w:tblGrid>
        <w:gridCol w:w="374"/>
        <w:gridCol w:w="329"/>
        <w:gridCol w:w="331"/>
        <w:gridCol w:w="109"/>
        <w:gridCol w:w="109"/>
        <w:gridCol w:w="109"/>
        <w:gridCol w:w="225"/>
        <w:gridCol w:w="640"/>
        <w:gridCol w:w="125"/>
        <w:gridCol w:w="109"/>
        <w:gridCol w:w="109"/>
        <w:gridCol w:w="109"/>
        <w:gridCol w:w="230"/>
        <w:gridCol w:w="652"/>
        <w:gridCol w:w="127"/>
        <w:gridCol w:w="109"/>
        <w:gridCol w:w="109"/>
        <w:gridCol w:w="109"/>
        <w:gridCol w:w="276"/>
        <w:gridCol w:w="574"/>
        <w:gridCol w:w="156"/>
        <w:gridCol w:w="109"/>
        <w:gridCol w:w="109"/>
        <w:gridCol w:w="109"/>
        <w:gridCol w:w="302"/>
        <w:gridCol w:w="273"/>
        <w:gridCol w:w="274"/>
        <w:gridCol w:w="109"/>
        <w:gridCol w:w="109"/>
        <w:gridCol w:w="109"/>
        <w:gridCol w:w="234"/>
        <w:gridCol w:w="503"/>
        <w:gridCol w:w="130"/>
        <w:gridCol w:w="109"/>
        <w:gridCol w:w="109"/>
        <w:gridCol w:w="109"/>
        <w:gridCol w:w="283"/>
        <w:gridCol w:w="609"/>
        <w:gridCol w:w="158"/>
        <w:gridCol w:w="109"/>
        <w:gridCol w:w="109"/>
        <w:gridCol w:w="109"/>
        <w:gridCol w:w="284"/>
        <w:gridCol w:w="588"/>
        <w:gridCol w:w="239"/>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Derivatives in Cash Flow</w:t>
              <w:br/>
              <w:t>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Location of Gain or (Loss) Reclassified from 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0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 xml:space="preserve">Amount of Gain or (Loss) Recognized in OCI on Derivative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Recognized in OCI Included Component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Recognized in OCI Excluded 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 Included Component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 Excluded Component</w:t>
            </w:r>
          </w:p>
        </w:tc>
      </w:tr>
      <w:tr>
        <w:trPr/>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74"/>
        <w:gridCol w:w="329"/>
        <w:gridCol w:w="331"/>
        <w:gridCol w:w="109"/>
        <w:gridCol w:w="109"/>
        <w:gridCol w:w="109"/>
        <w:gridCol w:w="237"/>
        <w:gridCol w:w="511"/>
        <w:gridCol w:w="134"/>
        <w:gridCol w:w="109"/>
        <w:gridCol w:w="109"/>
        <w:gridCol w:w="109"/>
        <w:gridCol w:w="270"/>
        <w:gridCol w:w="581"/>
        <w:gridCol w:w="151"/>
        <w:gridCol w:w="109"/>
        <w:gridCol w:w="109"/>
        <w:gridCol w:w="109"/>
        <w:gridCol w:w="275"/>
        <w:gridCol w:w="572"/>
        <w:gridCol w:w="156"/>
        <w:gridCol w:w="109"/>
        <w:gridCol w:w="109"/>
        <w:gridCol w:w="109"/>
        <w:gridCol w:w="301"/>
        <w:gridCol w:w="272"/>
        <w:gridCol w:w="273"/>
        <w:gridCol w:w="109"/>
        <w:gridCol w:w="109"/>
        <w:gridCol w:w="109"/>
        <w:gridCol w:w="226"/>
        <w:gridCol w:w="642"/>
        <w:gridCol w:w="125"/>
        <w:gridCol w:w="109"/>
        <w:gridCol w:w="109"/>
        <w:gridCol w:w="109"/>
        <w:gridCol w:w="239"/>
        <w:gridCol w:w="679"/>
        <w:gridCol w:w="133"/>
        <w:gridCol w:w="109"/>
        <w:gridCol w:w="109"/>
        <w:gridCol w:w="109"/>
        <w:gridCol w:w="282"/>
        <w:gridCol w:w="586"/>
        <w:gridCol w:w="237"/>
      </w:tblGrid>
      <w:tr>
        <w:trPr/>
        <w:tc>
          <w:tcPr>
            <w:tcW w:w="37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0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5"/>
              </w:rPr>
            </w:pPr>
            <w:r>
              <w:rPr>
                <w:rFonts w:ascii="Times New Roman;serif" w:hAnsi="Times New Roman;serif"/>
                <w:b/>
                <w:color w:val="000000"/>
                <w:sz w:val="15"/>
              </w:rPr>
              <w:t>Derivatives in Cash Flow</w:t>
              <w:br/>
              <w:t>Hedging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Location of Gain or (Loss) Reclassified from AOCI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0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5"/>
              </w:rPr>
            </w:pPr>
            <w:r>
              <w:rPr>
                <w:rFonts w:ascii="Times New Roman;serif" w:hAnsi="Times New Roman;serif"/>
                <w:b/>
                <w:color w:val="000000"/>
                <w:sz w:val="15"/>
              </w:rPr>
              <w:t xml:space="preserve">Amount of Gain or (Loss) Recognized in OCI on Derivative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Recognized in OCI Included Component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Recognized in OCI Excluded Component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 Included Component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Amount of Gain or (Loss) Reclassified from AOCI into Income Excluded Component</w:t>
            </w:r>
          </w:p>
        </w:tc>
      </w:tr>
      <w:tr>
        <w:trPr/>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Derivatives (continued)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effect of the Company’s derivative financial instruments on the Consolidated Statements of Income for the three and six months ended June 30, 2026, and June 30, 2025 (in thousands).</w:t>
      </w:r>
    </w:p>
    <w:tbl>
      <w:tblPr>
        <w:tblW w:w="10205" w:type="dxa"/>
        <w:jc w:val="left"/>
        <w:tblInd w:w="0" w:type="dxa"/>
        <w:tblLayout w:type="fixed"/>
        <w:tblCellMar>
          <w:top w:w="28" w:type="dxa"/>
          <w:left w:w="28" w:type="dxa"/>
          <w:bottom w:w="28" w:type="dxa"/>
          <w:right w:w="28" w:type="dxa"/>
        </w:tblCellMar>
      </w:tblPr>
      <w:tblGrid>
        <w:gridCol w:w="1656"/>
        <w:gridCol w:w="1455"/>
        <w:gridCol w:w="1465"/>
        <w:gridCol w:w="284"/>
        <w:gridCol w:w="610"/>
        <w:gridCol w:w="157"/>
        <w:gridCol w:w="157"/>
        <w:gridCol w:w="157"/>
        <w:gridCol w:w="157"/>
        <w:gridCol w:w="300"/>
        <w:gridCol w:w="610"/>
        <w:gridCol w:w="157"/>
        <w:gridCol w:w="157"/>
        <w:gridCol w:w="157"/>
        <w:gridCol w:w="157"/>
        <w:gridCol w:w="330"/>
        <w:gridCol w:w="479"/>
        <w:gridCol w:w="157"/>
        <w:gridCol w:w="157"/>
        <w:gridCol w:w="157"/>
        <w:gridCol w:w="157"/>
        <w:gridCol w:w="284"/>
        <w:gridCol w:w="610"/>
        <w:gridCol w:w="238"/>
      </w:tblGrid>
      <w:tr>
        <w:trPr/>
        <w:tc>
          <w:tcPr>
            <w:tcW w:w="1656"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Location and Amount of Gain or (Loss) Recognized in Income on Fair Value and Cash Flow Hedging Relationships </w:t>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9"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Interest Income </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Interest Expense</w:t>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amounts of income and expense line items presented in the consolidated statements of income in which the effects of fair value or cash flow hedges are recorded</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The effects of fair value and cash flow hedging:</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Gain or (loss) on fair value hedging relationships in Subtopic 815-20</w:t>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Interest contracts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Hedged items </w:t>
            </w:r>
            <w:r>
              <w:rPr>
                <w:rFonts w:ascii="Times New Roman;serif" w:hAnsi="Times New Roman;serif"/>
                <w:b w:val="false"/>
                <w:color w:val="000000"/>
                <w:sz w:val="12"/>
              </w:rPr>
              <w:t>(1)</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Gain or (loss) on cash flow hedging relationships in Subtopic 815-20</w:t>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Interest contracts</w:t>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Amount of gain or (loss) reclassified from AOCI into income</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or (loss) reclassified from AOCI into income as a result that a forecasted transaction is no longer probable of occurring</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or (loss) reclassified from AOCI into income - included component</w:t>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23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or (loss) reclassified from AOCI into income - excluded component</w:t>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34"/>
        <w:gridCol w:w="1436"/>
        <w:gridCol w:w="1445"/>
        <w:gridCol w:w="277"/>
        <w:gridCol w:w="596"/>
        <w:gridCol w:w="154"/>
        <w:gridCol w:w="154"/>
        <w:gridCol w:w="154"/>
        <w:gridCol w:w="154"/>
        <w:gridCol w:w="294"/>
        <w:gridCol w:w="596"/>
        <w:gridCol w:w="154"/>
        <w:gridCol w:w="154"/>
        <w:gridCol w:w="154"/>
        <w:gridCol w:w="154"/>
        <w:gridCol w:w="324"/>
        <w:gridCol w:w="468"/>
        <w:gridCol w:w="154"/>
        <w:gridCol w:w="154"/>
        <w:gridCol w:w="154"/>
        <w:gridCol w:w="154"/>
        <w:gridCol w:w="277"/>
        <w:gridCol w:w="787"/>
        <w:gridCol w:w="223"/>
      </w:tblGrid>
      <w:tr>
        <w:trPr/>
        <w:tc>
          <w:tcPr>
            <w:tcW w:w="163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Location and Amount of Gain or (Loss) Recognized in Income on Fair Value and Cash Flow Hedging Relationships </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Expense</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Interest Expense</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amounts of income and expense line items presented in the consolidated statements of income in which the effects of fair value or cash flow hedges are recorded</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The effects of fair value and cash flow hedging:</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Gain or (loss) on fair value hedging relationships in Subtopic 815-20</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Interest contracts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Hedged items </w:t>
            </w:r>
            <w:r>
              <w:rPr>
                <w:rFonts w:ascii="Times New Roman;serif" w:hAnsi="Times New Roman;serif"/>
                <w:b w:val="false"/>
                <w:color w:val="000000"/>
                <w:sz w:val="12"/>
              </w:rPr>
              <w:t>(1)</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Derivatives designated as hedging instruments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Gain or (loss) on cash flow hedging relationships in Subtopic 815-20</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Interest contracts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Amount of gain or (loss) reclassified from AOCI into income</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or (loss) reclassified from AOCI into income as a result that a forecasted transaction is no longer probable of occurring</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or (loss) reclassified from AOCI into income - included component</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22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of gain or (loss) reclassified from AOCI into income - excluded component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 xml:space="preserve">(1) The Company voluntarily discontinued a fair value hedging relationship and these amounts include the gain or (loss) and the hedging adjustment on a voluntary discontinued hedging relationship. The Company has allocated the basis adjustment to the remaining individual assets in the closed portfolio and will amortize the basis adjustment over a period consistent with amortization of other discounts or premiums on the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Derivatives (continued)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Credit-risk-related Contingent Features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excluding back to back interest rate swaps, there are no derivatives in a liability position. As of December 31, 2025, the fair value of derivatives in a net liability position, which includes accrued interest but excludes any adjustment for non-performance risk related to these agreements, was $340.0 thousand. As of December 31, 2025, the Company has posted the full amount of collateral related to these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Credit extension commitments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financial statements do not reflect various financial instruments which arise in the normal course of business and which involve elements of credit risk, interest rate risk, and liquidity risk. These financial instruments include commitments to extend credit (e.g., revolving lines of credit) and commercial letters of credit.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Many of our lending relationships contain both funded and unfunded elements. The funded portion is reflected on our balance sheet. The unfunded portion of these commitments is not recorded on our balance sheet until a draw is made under the loan facility. Since many of our commitments to extend credit may expire without being drawn upon, the total commitment amounts do not necessarily represent future cash flow requirements.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the contractual amounts of the Company’s financial instruments outstanding at June 30, 2026, and December 31, 2025, is as follows (in thousands):</w:t>
      </w:r>
    </w:p>
    <w:tbl>
      <w:tblPr>
        <w:tblW w:w="6073" w:type="dxa"/>
        <w:jc w:val="left"/>
        <w:tblInd w:w="0" w:type="dxa"/>
        <w:tblLayout w:type="fixed"/>
        <w:tblCellMar>
          <w:top w:w="28" w:type="dxa"/>
          <w:left w:w="28" w:type="dxa"/>
          <w:bottom w:w="28" w:type="dxa"/>
          <w:right w:w="28" w:type="dxa"/>
        </w:tblCellMar>
      </w:tblPr>
      <w:tblGrid>
        <w:gridCol w:w="935"/>
        <w:gridCol w:w="820"/>
        <w:gridCol w:w="824"/>
        <w:gridCol w:w="109"/>
        <w:gridCol w:w="109"/>
        <w:gridCol w:w="109"/>
        <w:gridCol w:w="211"/>
        <w:gridCol w:w="976"/>
        <w:gridCol w:w="109"/>
        <w:gridCol w:w="109"/>
        <w:gridCol w:w="109"/>
        <w:gridCol w:w="109"/>
        <w:gridCol w:w="273"/>
        <w:gridCol w:w="1072"/>
        <w:gridCol w:w="199"/>
      </w:tblGrid>
      <w:tr>
        <w:trPr/>
        <w:tc>
          <w:tcPr>
            <w:tcW w:w="935"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to extend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970,255 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letters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23,959 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Commitments to extend credit and commercial letters of credit both include exposure to some credit loss in the event of non-performance of the customer. The Company’s credit policies and procedures for credit commitments and financial guarantees are the same as those for extensions of credit that are recorded on the Consolidated Balance Sheets. Many of these instruments have fixed maturity dates, and many of them will expire without being drawn upon; accordingly, they do not generally present any significant liquidity risk to the Company.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Allowance for credit losses - off-balance-sheet credit exposures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provision for credit losses on unfunded commitments of $2.2 million and recapture of credit losses of $93.0 thousand on unfunded commitments for the three months ended June 30, 2026 and June 30, 2025, respectively. The Company recorded a provision for credit losses on unfunded commitments of $2.0 million and a recapture of credit losses of $492.0 thousand for the six months ended June 30, 2026 and June 30, 2025, respectively. The ACL on off-balance-sheet credit totaled $5.2 million and $3.2 million as of June 30, 2026, and December 31, 2025, and is included in accrued interest and other liabilities on the accompanying Consolidated Balance Sheets.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is a party to litigation, claims, and proceedings arising in the normal course of business that are ordinary and routine to the nature of the Company’s business and operations. Management, after consultation with legal counsel, believes that the liabilities, if any, arising from any currently pending or threatened litigation, claims, or proceedings will not be material to the Company’s financial position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Fair Value Measurements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Determination of Fair Value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the exchange price that would be received for an asset or paid to transfer a liability (an exit price) in the principal or most advantageous market for the asset or liability in an orderly transaction between market participants on the measurement date. There are three levels of inputs that may be used to measure fair values: </w:t>
      </w:r>
    </w:p>
    <w:p>
      <w:pPr>
        <w:pStyle w:val="TextBody"/>
        <w:bidi w:val="0"/>
        <w:spacing w:lineRule="auto" w:line="288" w:before="0" w:after="180"/>
        <w:jc w:val="both"/>
        <w:rPr/>
      </w:pPr>
      <w:r>
        <w:rPr>
          <w:rFonts w:ascii="Times New Roman;serif" w:hAnsi="Times New Roman;serif"/>
          <w:b w:val="false"/>
          <w:i/>
          <w:color w:val="000000"/>
          <w:sz w:val="20"/>
        </w:rPr>
        <w:t xml:space="preserve">Level 1 </w:t>
      </w:r>
      <w:r>
        <w:rPr>
          <w:color w:val="000000"/>
        </w:rPr>
        <w:t xml:space="preserve">– </w:t>
      </w:r>
      <w:r>
        <w:rPr>
          <w:rFonts w:ascii="Times New Roman;serif" w:hAnsi="Times New Roman;serif"/>
          <w:b w:val="false"/>
          <w:color w:val="000000"/>
          <w:sz w:val="20"/>
        </w:rPr>
        <w:t>Quoted prices (unadjusted) for identical assets or liabilities in active markets that the entity has the ability to access as of the measurement date.</w:t>
      </w:r>
    </w:p>
    <w:p>
      <w:pPr>
        <w:pStyle w:val="TextBody"/>
        <w:bidi w:val="0"/>
        <w:spacing w:lineRule="auto" w:line="288" w:before="0" w:after="180"/>
        <w:jc w:val="both"/>
        <w:rPr/>
      </w:pPr>
      <w:r>
        <w:rPr>
          <w:rFonts w:ascii="Times New Roman;serif" w:hAnsi="Times New Roman;serif"/>
          <w:b w:val="false"/>
          <w:i/>
          <w:color w:val="000000"/>
          <w:sz w:val="20"/>
        </w:rPr>
        <w:t xml:space="preserve">Level 2 </w:t>
      </w:r>
      <w:r>
        <w:rPr>
          <w:color w:val="000000"/>
        </w:rPr>
        <w:t xml:space="preserve">– </w:t>
      </w:r>
      <w:r>
        <w:rPr>
          <w:rFonts w:ascii="Times New Roman;serif" w:hAnsi="Times New Roman;serif"/>
          <w:b w:val="false"/>
          <w:color w:val="000000"/>
          <w:sz w:val="20"/>
        </w:rPr>
        <w:t xml:space="preserve">Significant other observable inputs other than Level 1 prices such as quoted prices for similar assets or liabilities; quoted prices in markets that are not active; or other inputs that are observable or can be corroborated by observable market data. </w:t>
      </w:r>
    </w:p>
    <w:p>
      <w:pPr>
        <w:pStyle w:val="TextBody"/>
        <w:bidi w:val="0"/>
        <w:spacing w:lineRule="auto" w:line="288" w:before="0" w:after="180"/>
        <w:jc w:val="both"/>
        <w:rPr/>
      </w:pPr>
      <w:r>
        <w:rPr>
          <w:rFonts w:ascii="Times New Roman;serif" w:hAnsi="Times New Roman;serif"/>
          <w:b w:val="false"/>
          <w:i/>
          <w:color w:val="000000"/>
          <w:sz w:val="20"/>
        </w:rPr>
        <w:t xml:space="preserve">Level 3 </w:t>
      </w:r>
      <w:r>
        <w:rPr>
          <w:color w:val="000000"/>
        </w:rPr>
        <w:t xml:space="preserve">– </w:t>
      </w:r>
      <w:r>
        <w:rPr>
          <w:rFonts w:ascii="Times New Roman;serif" w:hAnsi="Times New Roman;serif"/>
          <w:b w:val="false"/>
          <w:color w:val="000000"/>
          <w:sz w:val="20"/>
        </w:rPr>
        <w:t>Significant unobservable inputs that reflect our own assumptions that market participants would use in pricing an asset or liability.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instances in which multiple levels of inputs are used to measure fair value, hierarchy classification is based on the lowest level input that is significant to the fair value measurement in its entirety. The Company’s assessment of the significance of a particular input to the fair value measurement in its entirety requires judgment and considers factors specific to the asset or liability.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used the following methods and significant assumptions to estimate fair value: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Investment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for investment securities are determined by quoted market prices, if available (Level 1). For securities where quoted prices are not available, fair values are calculated based on market prices of similar securities (Level 2), using matrix pricing. Matrix pricing is a mathematical technique commonly used to price debt securities without relying exclusively on quoted prices for the specific securities but rather by relying on securities’ relationship to other benchmark quoted securities (Level 2 inputs). For securities where quoted prices or market prices of similar securities are not available, fair values are calculated using discounted cash flows or other market indicators (Level 3).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Equity Investments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Equity investments are recorded at fair value on a recurring basis, with changes in fair value reported in net income. Through the Summit Merger we acquired an investment in an S&amp;P 500 index fund that is traded on an exchange, and we classify it as Level 1 as of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Through the Summit Merger, we acquired perpetual preferred stock of a bank holding company issued in October 2022 in a private offering. The perpetual preferred stock does not trade on an exchange or in an active over-the-counter market; therefore, we estimate its fair value using the present value of its future cash flows using observed discount rates of similar publicly-traded securities, adjusted for a liquidity premium. We classify the perpetual preferred stock as Level 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Equity securities without readily determinable fair values are carried at cost, minus impairment, if any, plus or minus changes resulting from observable price changes in orderly transactions for an identical or similar investment. Such equity securities are included in other assets on the accompanying Consolidated Balance Sheets.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Derivatives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values of derivatives are based on valuation models using observable market data as of the measurement date (Level 2). The Company has contracted with a third-party vendor to provide valuations for interest rate swaps using standard swap valuation techniques. The Company has considered counterparty credit risk in the valuation of its interest rate swap assets and has considered its own credit risk in the valuation of its interest rate swap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Fair Value Measurements (continued)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Loans held-for-sale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loans held-for-sale is determined using quoted prices for similar assets, adjusted for specific attributes of that loan (Level 2). These loans currently consist of one-to-four family residential loans originated for sale in the secondary market.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on a recurring basis are summarized below (in thousands):</w:t>
      </w:r>
    </w:p>
    <w:tbl>
      <w:tblPr>
        <w:tblW w:w="10205" w:type="dxa"/>
        <w:jc w:val="left"/>
        <w:tblInd w:w="0" w:type="dxa"/>
        <w:tblLayout w:type="fixed"/>
        <w:tblCellMar>
          <w:top w:w="28" w:type="dxa"/>
          <w:left w:w="28" w:type="dxa"/>
          <w:bottom w:w="28" w:type="dxa"/>
          <w:right w:w="28" w:type="dxa"/>
        </w:tblCellMar>
      </w:tblPr>
      <w:tblGrid>
        <w:gridCol w:w="982"/>
        <w:gridCol w:w="583"/>
        <w:gridCol w:w="587"/>
        <w:gridCol w:w="433"/>
        <w:gridCol w:w="1628"/>
        <w:gridCol w:w="240"/>
        <w:gridCol w:w="109"/>
        <w:gridCol w:w="109"/>
        <w:gridCol w:w="109"/>
        <w:gridCol w:w="310"/>
        <w:gridCol w:w="1381"/>
        <w:gridCol w:w="172"/>
        <w:gridCol w:w="109"/>
        <w:gridCol w:w="109"/>
        <w:gridCol w:w="109"/>
        <w:gridCol w:w="463"/>
        <w:gridCol w:w="958"/>
        <w:gridCol w:w="259"/>
        <w:gridCol w:w="109"/>
        <w:gridCol w:w="109"/>
        <w:gridCol w:w="109"/>
        <w:gridCol w:w="196"/>
        <w:gridCol w:w="871"/>
        <w:gridCol w:w="161"/>
      </w:tblGrid>
      <w:tr>
        <w:trPr/>
        <w:tc>
          <w:tcPr>
            <w:tcW w:w="9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June 30, 2026, Using:</w:t>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assets</w:t>
            </w:r>
          </w:p>
        </w:tc>
        <w:tc>
          <w:tcPr>
            <w:tcW w:w="2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Treasuries and government agencies</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148,946 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148,946 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Obligations of states and municipalities</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1,107,768 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1,107,768 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backed - agency</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83,988 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83,988 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backed - non-agency</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372,533 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372,533 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 backed - agency</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72,738 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 backed - non-agency</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93,347 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47,017 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47,017 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36,701 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 available-for-sale</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148,946 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1,814,092 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1,963,038 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held-for-sale</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investments</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liabilities</w:t>
            </w:r>
          </w:p>
        </w:tc>
        <w:tc>
          <w:tcPr>
            <w:tcW w:w="2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2"/>
        <w:gridCol w:w="583"/>
        <w:gridCol w:w="587"/>
        <w:gridCol w:w="433"/>
        <w:gridCol w:w="1628"/>
        <w:gridCol w:w="240"/>
        <w:gridCol w:w="109"/>
        <w:gridCol w:w="109"/>
        <w:gridCol w:w="109"/>
        <w:gridCol w:w="310"/>
        <w:gridCol w:w="1381"/>
        <w:gridCol w:w="172"/>
        <w:gridCol w:w="109"/>
        <w:gridCol w:w="109"/>
        <w:gridCol w:w="109"/>
        <w:gridCol w:w="463"/>
        <w:gridCol w:w="958"/>
        <w:gridCol w:w="259"/>
        <w:gridCol w:w="109"/>
        <w:gridCol w:w="109"/>
        <w:gridCol w:w="109"/>
        <w:gridCol w:w="196"/>
        <w:gridCol w:w="871"/>
        <w:gridCol w:w="161"/>
      </w:tblGrid>
      <w:tr>
        <w:trPr/>
        <w:tc>
          <w:tcPr>
            <w:tcW w:w="98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2025, Using:</w:t>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assets</w:t>
            </w:r>
          </w:p>
        </w:tc>
        <w:tc>
          <w:tcPr>
            <w:tcW w:w="23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Securities</w:t>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Treasuries and government agencies</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150,124 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150,124 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Obligations of states and municipalities</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922,574 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922,574 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backed - agency</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55,385 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 mortgage backed - non-agency</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218,092 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 backed - agency</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73,896 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73,896 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mortgage backed - non-agency</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111,109 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Asset-backed</w:t>
            </w:r>
          </w:p>
        </w:tc>
        <w:tc>
          <w:tcPr>
            <w:tcW w:w="2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53,466 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53,466 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2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31,308 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 securities available-for-sale</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150,124 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1,465,830 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1,615,954 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 held-for-sale</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investments</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Fair Value Measurements (continued)</w:t>
      </w:r>
    </w:p>
    <w:tbl>
      <w:tblPr>
        <w:tblW w:w="5580" w:type="dxa"/>
        <w:jc w:val="left"/>
        <w:tblInd w:w="0" w:type="dxa"/>
        <w:tblLayout w:type="fixed"/>
        <w:tblCellMar>
          <w:top w:w="28" w:type="dxa"/>
          <w:left w:w="28" w:type="dxa"/>
          <w:bottom w:w="28" w:type="dxa"/>
          <w:right w:w="28" w:type="dxa"/>
        </w:tblCellMar>
      </w:tblPr>
      <w:tblGrid>
        <w:gridCol w:w="511"/>
        <w:gridCol w:w="449"/>
        <w:gridCol w:w="450"/>
        <w:gridCol w:w="196"/>
        <w:gridCol w:w="406"/>
        <w:gridCol w:w="109"/>
        <w:gridCol w:w="109"/>
        <w:gridCol w:w="109"/>
        <w:gridCol w:w="109"/>
        <w:gridCol w:w="196"/>
        <w:gridCol w:w="556"/>
        <w:gridCol w:w="109"/>
        <w:gridCol w:w="109"/>
        <w:gridCol w:w="109"/>
        <w:gridCol w:w="109"/>
        <w:gridCol w:w="196"/>
        <w:gridCol w:w="406"/>
        <w:gridCol w:w="109"/>
        <w:gridCol w:w="109"/>
        <w:gridCol w:w="109"/>
        <w:gridCol w:w="109"/>
        <w:gridCol w:w="196"/>
        <w:gridCol w:w="556"/>
        <w:gridCol w:w="154"/>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liabilities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Derivatives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describes the valuation techniques used by the Company to measure certain assets recorded at fair value on a non-recurring basis in the financial statements: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Collateral dependent loans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Loans for which the borrower is experiencing financial difficulty and repayment is dependent upon the operation or sale of collateral, are considered collateral-dependent. For collateral-dependent loans, the fair value is measured based on the value of the collateral securing the loans, less estimated costs of disposal. Collateral may be in the form of real estate or business assets, including equipment, inventory, and accounts receivable. The vast majority of the collateral underlying collateral-dependent loans is real estate, the fair value of which is measured through an appraisal. The appraisals of the collateral supporting collateral-dependent loans may utilize a single valuation approach or a combination of approaches, including comparable sales and the income approach. Any fair value adjustments are recorded in the period incurred as provision for (recapture of) credit losses on the Consolidated Statements of Income. Non-real estate collateral may be valued using an appraisal, net book value per the borrower’s financial statements, or aging reports, adjusted or discounted based on management’s historical knowledge, changes in market conditions from the time of the valuation, and management’s expertise and knowledge of the client and client’s business.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Other real estate owned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Assets acquired through foreclosure or other proceedings are initially recorded at fair value less costs to sell when acquired, establishing a new cost basis. The fair value of foreclosed properties is determined on a nonrecurring basis generally utilizing current appraisals performed by an independent, licensed appraiser applying an income or market value approach using observable market data. Updated appraisals of foreclosed properties are generally obtained if the existing appraisal is more than 18 months old or more frequently if there is a known deterioration in value. However, if a current appraisal is not available, the original appraised value is discounted, as appropriate, to compensate for the estimated depreciation in the value of the real estate since the date of its original appraisal. Such discounts are generally estimated based upon management’s knowledge of sales of similar property within the applicable market area and its knowledge of other real estate market-related data, as well as general economic trends. Upon foreclosure, any fair value adjustment is charged against the allowance for credit losses on loans. Subsequent fair value adjustments are recorded in the period incurred and included in other noninterest expense in the Consolidated Statements of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Assets that were measured at fair value on a non-recurring basis during the period are summarized below (in thousands):</w:t>
      </w:r>
    </w:p>
    <w:tbl>
      <w:tblPr>
        <w:tblW w:w="10205" w:type="dxa"/>
        <w:jc w:val="left"/>
        <w:tblInd w:w="0" w:type="dxa"/>
        <w:tblLayout w:type="fixed"/>
        <w:tblCellMar>
          <w:top w:w="28" w:type="dxa"/>
          <w:left w:w="28" w:type="dxa"/>
          <w:bottom w:w="28" w:type="dxa"/>
          <w:right w:w="28" w:type="dxa"/>
        </w:tblCellMar>
      </w:tblPr>
      <w:tblGrid>
        <w:gridCol w:w="886"/>
        <w:gridCol w:w="615"/>
        <w:gridCol w:w="601"/>
        <w:gridCol w:w="109"/>
        <w:gridCol w:w="109"/>
        <w:gridCol w:w="109"/>
        <w:gridCol w:w="620"/>
        <w:gridCol w:w="1290"/>
        <w:gridCol w:w="349"/>
        <w:gridCol w:w="109"/>
        <w:gridCol w:w="109"/>
        <w:gridCol w:w="109"/>
        <w:gridCol w:w="495"/>
        <w:gridCol w:w="1028"/>
        <w:gridCol w:w="278"/>
        <w:gridCol w:w="109"/>
        <w:gridCol w:w="109"/>
        <w:gridCol w:w="109"/>
        <w:gridCol w:w="355"/>
        <w:gridCol w:w="1178"/>
        <w:gridCol w:w="200"/>
        <w:gridCol w:w="109"/>
        <w:gridCol w:w="109"/>
        <w:gridCol w:w="109"/>
        <w:gridCol w:w="196"/>
        <w:gridCol w:w="646"/>
        <w:gridCol w:w="160"/>
      </w:tblGrid>
      <w:tr>
        <w:trPr/>
        <w:tc>
          <w:tcPr>
            <w:tcW w:w="88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June 30, 2026, Using:</w:t>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 dependent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1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14,424 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Owner-occupied 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construction &amp;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1,338 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 family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6,849 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non-real estate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Fair Value Measurements (continued)</w:t>
      </w:r>
    </w:p>
    <w:tbl>
      <w:tblPr>
        <w:tblW w:w="10205" w:type="dxa"/>
        <w:jc w:val="left"/>
        <w:tblInd w:w="0" w:type="dxa"/>
        <w:tblLayout w:type="fixed"/>
        <w:tblCellMar>
          <w:top w:w="28" w:type="dxa"/>
          <w:left w:w="28" w:type="dxa"/>
          <w:bottom w:w="28" w:type="dxa"/>
          <w:right w:w="28" w:type="dxa"/>
        </w:tblCellMar>
      </w:tblPr>
      <w:tblGrid>
        <w:gridCol w:w="901"/>
        <w:gridCol w:w="642"/>
        <w:gridCol w:w="629"/>
        <w:gridCol w:w="656"/>
        <w:gridCol w:w="1364"/>
        <w:gridCol w:w="369"/>
        <w:gridCol w:w="109"/>
        <w:gridCol w:w="109"/>
        <w:gridCol w:w="109"/>
        <w:gridCol w:w="515"/>
        <w:gridCol w:w="1070"/>
        <w:gridCol w:w="290"/>
        <w:gridCol w:w="109"/>
        <w:gridCol w:w="109"/>
        <w:gridCol w:w="109"/>
        <w:gridCol w:w="366"/>
        <w:gridCol w:w="1214"/>
        <w:gridCol w:w="206"/>
        <w:gridCol w:w="109"/>
        <w:gridCol w:w="109"/>
        <w:gridCol w:w="109"/>
        <w:gridCol w:w="196"/>
        <w:gridCol w:w="646"/>
        <w:gridCol w:w="160"/>
      </w:tblGrid>
      <w:tr>
        <w:trPr/>
        <w:tc>
          <w:tcPr>
            <w:tcW w:w="90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2025, Using:</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 dependent loans</w:t>
            </w:r>
          </w:p>
        </w:tc>
        <w:tc>
          <w:tcPr>
            <w:tcW w:w="2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2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Owner-occupied commercial real estate</w:t>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construction &amp; development</w:t>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 family residential</w:t>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non-real estate and other</w:t>
            </w:r>
          </w:p>
        </w:tc>
        <w:tc>
          <w:tcPr>
            <w:tcW w:w="2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2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Level 3 Fair Value Measurements for assets measured at fair value on a non-recurring basis at June 30, 2026, and December 31, 2025 (in thousands except for percentages):</w:t>
      </w:r>
    </w:p>
    <w:tbl>
      <w:tblPr>
        <w:tblW w:w="10205" w:type="dxa"/>
        <w:jc w:val="left"/>
        <w:tblInd w:w="0" w:type="dxa"/>
        <w:tblLayout w:type="fixed"/>
        <w:tblCellMar>
          <w:top w:w="28" w:type="dxa"/>
          <w:left w:w="28" w:type="dxa"/>
          <w:bottom w:w="28" w:type="dxa"/>
          <w:right w:w="28" w:type="dxa"/>
        </w:tblCellMar>
      </w:tblPr>
      <w:tblGrid>
        <w:gridCol w:w="526"/>
        <w:gridCol w:w="463"/>
        <w:gridCol w:w="465"/>
        <w:gridCol w:w="109"/>
        <w:gridCol w:w="109"/>
        <w:gridCol w:w="109"/>
        <w:gridCol w:w="196"/>
        <w:gridCol w:w="646"/>
        <w:gridCol w:w="109"/>
        <w:gridCol w:w="109"/>
        <w:gridCol w:w="109"/>
        <w:gridCol w:w="109"/>
        <w:gridCol w:w="428"/>
        <w:gridCol w:w="428"/>
        <w:gridCol w:w="430"/>
        <w:gridCol w:w="109"/>
        <w:gridCol w:w="109"/>
        <w:gridCol w:w="109"/>
        <w:gridCol w:w="889"/>
        <w:gridCol w:w="889"/>
        <w:gridCol w:w="892"/>
        <w:gridCol w:w="109"/>
        <w:gridCol w:w="109"/>
        <w:gridCol w:w="109"/>
        <w:gridCol w:w="797"/>
        <w:gridCol w:w="715"/>
        <w:gridCol w:w="1024"/>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r>
      <w:tr>
        <w:trPr/>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Techniques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r>
      <w:tr>
        <w:trPr/>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 dependent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Appraisal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adjustments (e.g., liquidity, selling costs, etc.)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5.0% to 20.0% for liquidity, 6.0% to 8.0% for selling costs</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Appraisal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adjustments (e.g., liquidity, selling costs, etc.)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5.0% to 20.0% for liquidity, 6.0% to 8.0% for selling costs</w:t>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 dependent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Appraisal of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adjustments (e.g., liquidity, selling costs, etc.)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5.0% to 20.0% for liquidity, 6.0% to 8.0% for selling costs</w:t>
            </w:r>
          </w:p>
        </w:tc>
      </w:tr>
      <w:tr>
        <w:trPr/>
        <w:tc>
          <w:tcPr>
            <w:tcW w:w="1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real estate owned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Appraisal of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adjustments (e.g., liquidity, selling costs, etc.)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5.0% to 20.0% for liquidity, 6.0% to 8.0% for selling costs</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Fair value of financial instruments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of financial instruments not carried at fair value, at June 30, 2026, and December 31, 2025, were as follows (in thousands):</w:t>
      </w:r>
    </w:p>
    <w:tbl>
      <w:tblPr>
        <w:tblW w:w="10205" w:type="dxa"/>
        <w:jc w:val="left"/>
        <w:tblInd w:w="0" w:type="dxa"/>
        <w:tblLayout w:type="fixed"/>
        <w:tblCellMar>
          <w:top w:w="28" w:type="dxa"/>
          <w:left w:w="28" w:type="dxa"/>
          <w:bottom w:w="28" w:type="dxa"/>
          <w:right w:w="28" w:type="dxa"/>
        </w:tblCellMar>
      </w:tblPr>
      <w:tblGrid>
        <w:gridCol w:w="1081"/>
        <w:gridCol w:w="575"/>
        <w:gridCol w:w="465"/>
        <w:gridCol w:w="202"/>
        <w:gridCol w:w="902"/>
        <w:gridCol w:w="112"/>
        <w:gridCol w:w="109"/>
        <w:gridCol w:w="109"/>
        <w:gridCol w:w="109"/>
        <w:gridCol w:w="291"/>
        <w:gridCol w:w="1096"/>
        <w:gridCol w:w="162"/>
        <w:gridCol w:w="109"/>
        <w:gridCol w:w="109"/>
        <w:gridCol w:w="109"/>
        <w:gridCol w:w="242"/>
        <w:gridCol w:w="1077"/>
        <w:gridCol w:w="134"/>
        <w:gridCol w:w="109"/>
        <w:gridCol w:w="109"/>
        <w:gridCol w:w="109"/>
        <w:gridCol w:w="366"/>
        <w:gridCol w:w="759"/>
        <w:gridCol w:w="205"/>
        <w:gridCol w:w="109"/>
        <w:gridCol w:w="109"/>
        <w:gridCol w:w="109"/>
        <w:gridCol w:w="196"/>
        <w:gridCol w:w="871"/>
        <w:gridCol w:w="161"/>
      </w:tblGrid>
      <w:tr>
        <w:trPr/>
        <w:tc>
          <w:tcPr>
            <w:tcW w:w="108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June 30, 2026, Using:</w:t>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Assets</w:t>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116,443 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Interest-earning deposits with banks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50,710 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Loans, net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7,905,295 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7,875,255 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7,875,255 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Liabilities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2,058,076 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2,058,076 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2,058,076 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6,910,006 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6,901,676 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6,901,676 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524,983 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Subordinated debentures, net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132,805 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Subordinated debentures owed to unconsolidated subsidiary trusts</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16,381 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Fair Value Measurements (continued)</w:t>
      </w:r>
    </w:p>
    <w:tbl>
      <w:tblPr>
        <w:tblW w:w="10205" w:type="dxa"/>
        <w:jc w:val="left"/>
        <w:tblInd w:w="0" w:type="dxa"/>
        <w:tblLayout w:type="fixed"/>
        <w:tblCellMar>
          <w:top w:w="28" w:type="dxa"/>
          <w:left w:w="28" w:type="dxa"/>
          <w:bottom w:w="28" w:type="dxa"/>
          <w:right w:w="28" w:type="dxa"/>
        </w:tblCellMar>
      </w:tblPr>
      <w:tblGrid>
        <w:gridCol w:w="1087"/>
        <w:gridCol w:w="584"/>
        <w:gridCol w:w="475"/>
        <w:gridCol w:w="203"/>
        <w:gridCol w:w="903"/>
        <w:gridCol w:w="112"/>
        <w:gridCol w:w="109"/>
        <w:gridCol w:w="109"/>
        <w:gridCol w:w="109"/>
        <w:gridCol w:w="308"/>
        <w:gridCol w:w="1018"/>
        <w:gridCol w:w="171"/>
        <w:gridCol w:w="109"/>
        <w:gridCol w:w="109"/>
        <w:gridCol w:w="109"/>
        <w:gridCol w:w="244"/>
        <w:gridCol w:w="1086"/>
        <w:gridCol w:w="135"/>
        <w:gridCol w:w="109"/>
        <w:gridCol w:w="109"/>
        <w:gridCol w:w="109"/>
        <w:gridCol w:w="369"/>
        <w:gridCol w:w="765"/>
        <w:gridCol w:w="206"/>
        <w:gridCol w:w="109"/>
        <w:gridCol w:w="109"/>
        <w:gridCol w:w="109"/>
        <w:gridCol w:w="196"/>
        <w:gridCol w:w="871"/>
        <w:gridCol w:w="164"/>
      </w:tblGrid>
      <w:tr>
        <w:trPr/>
        <w:tc>
          <w:tcPr>
            <w:tcW w:w="108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December 31, 2025, Using:</w:t>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 in Active Markets for 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Assets</w:t>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Cash and due from banks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53,497 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53,497 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Interest-bearing deposits with banks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235,630 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235,630 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Loans,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5,319,853 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5,284,210 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5,284,210 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Financial Liabilities</w:t>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Non-interest-bearing deposits</w:t>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1,336,380 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1,336,380 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1,336,380 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Interest-bearing deposits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5,067,561 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5,062,925 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5,062,925 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Short-term borrowings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450,005 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Subordinated debentures,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70,800 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Subordinated debentures owed to unconsolidated subsidiary trusts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16,494 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0"/>
              <w:jc w:val="left"/>
              <w:rPr>
                <w:rFonts w:ascii="Times New Roman;serif" w:hAnsi="Times New Roman;serif"/>
                <w:b w:val="false"/>
                <w:color w:val="000000"/>
                <w:sz w:val="16"/>
              </w:rPr>
            </w:pPr>
            <w:r>
              <w:rPr>
                <w:rFonts w:ascii="Times New Roman;serif" w:hAnsi="Times New Roman;serif"/>
                <w:b w:val="false"/>
                <w:color w:val="000000"/>
                <w:sz w:val="16"/>
              </w:rPr>
              <w:t>Accrued interest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Accumulated Other Comprehensive Income (Loss)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changes in accumulated other comprehensive income (loss) by component, net of tax, for the three and six months ended June 30, 2026, and June 30, 2025 (in thousands):</w:t>
      </w:r>
    </w:p>
    <w:tbl>
      <w:tblPr>
        <w:tblW w:w="10205" w:type="dxa"/>
        <w:jc w:val="left"/>
        <w:tblInd w:w="0" w:type="dxa"/>
        <w:tblLayout w:type="fixed"/>
        <w:tblCellMar>
          <w:top w:w="28" w:type="dxa"/>
          <w:left w:w="28" w:type="dxa"/>
          <w:bottom w:w="28" w:type="dxa"/>
          <w:right w:w="28" w:type="dxa"/>
        </w:tblCellMar>
      </w:tblPr>
      <w:tblGrid>
        <w:gridCol w:w="696"/>
        <w:gridCol w:w="574"/>
        <w:gridCol w:w="579"/>
        <w:gridCol w:w="353"/>
        <w:gridCol w:w="1004"/>
        <w:gridCol w:w="196"/>
        <w:gridCol w:w="109"/>
        <w:gridCol w:w="109"/>
        <w:gridCol w:w="109"/>
        <w:gridCol w:w="501"/>
        <w:gridCol w:w="1692"/>
        <w:gridCol w:w="281"/>
        <w:gridCol w:w="109"/>
        <w:gridCol w:w="109"/>
        <w:gridCol w:w="109"/>
        <w:gridCol w:w="289"/>
        <w:gridCol w:w="889"/>
        <w:gridCol w:w="160"/>
        <w:gridCol w:w="109"/>
        <w:gridCol w:w="109"/>
        <w:gridCol w:w="109"/>
        <w:gridCol w:w="387"/>
        <w:gridCol w:w="1310"/>
        <w:gridCol w:w="313"/>
      </w:tblGrid>
      <w:tr>
        <w:trPr/>
        <w:tc>
          <w:tcPr>
            <w:tcW w:w="69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and Losses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 and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Pension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(66,157)</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(69,002)</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(losses)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7,998 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8,733 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realized (gains) losses reclassified to earnings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pension plan benefits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(57,246)</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(59,637)</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and Losses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 and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Pension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(83,661)</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(88,024)</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(losses)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820 </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realized (gains) losses reclassified to earnings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3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pension plan benefits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(83,576)</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(4,602)</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(87,854)</w:t>
            </w:r>
          </w:p>
        </w:tc>
        <w:tc>
          <w:tcPr>
            <w:tcW w:w="3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Accumulated Other Comprehensive Income (Loss) (continued)</w:t>
      </w:r>
    </w:p>
    <w:tbl>
      <w:tblPr>
        <w:tblW w:w="10205" w:type="dxa"/>
        <w:jc w:val="left"/>
        <w:tblInd w:w="0" w:type="dxa"/>
        <w:tblLayout w:type="fixed"/>
        <w:tblCellMar>
          <w:top w:w="28" w:type="dxa"/>
          <w:left w:w="28" w:type="dxa"/>
          <w:bottom w:w="28" w:type="dxa"/>
          <w:right w:w="28" w:type="dxa"/>
        </w:tblCellMar>
      </w:tblPr>
      <w:tblGrid>
        <w:gridCol w:w="691"/>
        <w:gridCol w:w="569"/>
        <w:gridCol w:w="574"/>
        <w:gridCol w:w="374"/>
        <w:gridCol w:w="986"/>
        <w:gridCol w:w="193"/>
        <w:gridCol w:w="109"/>
        <w:gridCol w:w="109"/>
        <w:gridCol w:w="109"/>
        <w:gridCol w:w="489"/>
        <w:gridCol w:w="1712"/>
        <w:gridCol w:w="256"/>
        <w:gridCol w:w="109"/>
        <w:gridCol w:w="109"/>
        <w:gridCol w:w="109"/>
        <w:gridCol w:w="297"/>
        <w:gridCol w:w="932"/>
        <w:gridCol w:w="153"/>
        <w:gridCol w:w="109"/>
        <w:gridCol w:w="109"/>
        <w:gridCol w:w="109"/>
        <w:gridCol w:w="380"/>
        <w:gridCol w:w="1333"/>
        <w:gridCol w:w="285"/>
      </w:tblGrid>
      <w:tr>
        <w:trPr/>
        <w:tc>
          <w:tcPr>
            <w:tcW w:w="69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2026</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and Losses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 and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Pension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(54,857)</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(58,960)</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(losses)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realized (gains) losses reclassified to earnings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w:t>
            </w:r>
          </w:p>
        </w:tc>
        <w:tc>
          <w:tcPr>
            <w:tcW w:w="2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pension plan benefits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(57,246)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(4,097)</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(59,637)</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 June 30, 2025</w:t>
            </w:r>
          </w:p>
        </w:tc>
      </w:tr>
      <w:tr>
        <w:trPr/>
        <w:tc>
          <w:tcPr>
            <w:tcW w:w="1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Gains and Losses on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 and 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Defined Benefit Pension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(92,055)</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(95,720)</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gains (losses)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realized (gains) losses reclassified to earnings</w:t>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28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pension plan benefits</w:t>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(83,576)</w:t>
            </w:r>
          </w:p>
        </w:tc>
        <w:tc>
          <w:tcPr>
            <w:tcW w:w="2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(4,602)</w:t>
            </w:r>
          </w:p>
        </w:tc>
        <w:tc>
          <w:tcPr>
            <w:tcW w:w="15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(87,854)</w:t>
            </w:r>
          </w:p>
        </w:tc>
        <w:tc>
          <w:tcPr>
            <w:tcW w:w="2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Accumulated Other Comprehensive Income (Loss)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amounts reclassified out of each component of accumulated other comprehensive income (loss) for the three and six months ended June 30, 2026, and June 30, 2025 (in thousands).</w:t>
      </w:r>
    </w:p>
    <w:tbl>
      <w:tblPr>
        <w:tblW w:w="10205" w:type="dxa"/>
        <w:jc w:val="left"/>
        <w:tblInd w:w="0" w:type="dxa"/>
        <w:tblLayout w:type="fixed"/>
        <w:tblCellMar>
          <w:top w:w="28" w:type="dxa"/>
          <w:left w:w="28" w:type="dxa"/>
          <w:bottom w:w="28" w:type="dxa"/>
          <w:right w:w="28" w:type="dxa"/>
        </w:tblCellMar>
      </w:tblPr>
      <w:tblGrid>
        <w:gridCol w:w="1051"/>
        <w:gridCol w:w="882"/>
        <w:gridCol w:w="884"/>
        <w:gridCol w:w="109"/>
        <w:gridCol w:w="109"/>
        <w:gridCol w:w="109"/>
        <w:gridCol w:w="217"/>
        <w:gridCol w:w="659"/>
        <w:gridCol w:w="120"/>
        <w:gridCol w:w="120"/>
        <w:gridCol w:w="120"/>
        <w:gridCol w:w="120"/>
        <w:gridCol w:w="235"/>
        <w:gridCol w:w="505"/>
        <w:gridCol w:w="130"/>
        <w:gridCol w:w="120"/>
        <w:gridCol w:w="120"/>
        <w:gridCol w:w="120"/>
        <w:gridCol w:w="235"/>
        <w:gridCol w:w="505"/>
        <w:gridCol w:w="130"/>
        <w:gridCol w:w="120"/>
        <w:gridCol w:w="120"/>
        <w:gridCol w:w="120"/>
        <w:gridCol w:w="218"/>
        <w:gridCol w:w="620"/>
        <w:gridCol w:w="121"/>
        <w:gridCol w:w="109"/>
        <w:gridCol w:w="109"/>
        <w:gridCol w:w="109"/>
        <w:gridCol w:w="568"/>
        <w:gridCol w:w="568"/>
        <w:gridCol w:w="823"/>
      </w:tblGrid>
      <w:tr>
        <w:trPr/>
        <w:tc>
          <w:tcPr>
            <w:tcW w:w="105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r>
      <w:tr>
        <w:trPr/>
        <w:tc>
          <w:tcPr>
            <w:tcW w:w="28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Details about Accumulated Other Comprehensive Income Components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Reclassified From 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Affected Line Item in the Statements of Income</w:t>
            </w:r>
          </w:p>
        </w:tc>
      </w:tr>
      <w:tr>
        <w:trPr/>
        <w:tc>
          <w:tcPr>
            <w:tcW w:w="28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(losses) on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gains/(losses) on securities</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(losses) on basis adjustment for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Defined benefit pension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actuarial gain /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Pension and other employee benefits</w:t>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effect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reclassifications,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813 </w:t>
            </w:r>
          </w:p>
        </w:tc>
        <w:tc>
          <w:tcPr>
            <w:tcW w:w="13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Other Operating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operating expense from the Consolidated Statements of Income for the three and six months ended June 30, 2026, and June 30, 2025, is as follows (in thousands):</w:t>
      </w:r>
    </w:p>
    <w:tbl>
      <w:tblPr>
        <w:tblW w:w="8171" w:type="dxa"/>
        <w:jc w:val="left"/>
        <w:tblInd w:w="0" w:type="dxa"/>
        <w:tblLayout w:type="fixed"/>
        <w:tblCellMar>
          <w:top w:w="28" w:type="dxa"/>
          <w:left w:w="28" w:type="dxa"/>
          <w:bottom w:w="28" w:type="dxa"/>
          <w:right w:w="28" w:type="dxa"/>
        </w:tblCellMar>
      </w:tblPr>
      <w:tblGrid>
        <w:gridCol w:w="962"/>
        <w:gridCol w:w="845"/>
        <w:gridCol w:w="847"/>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Historic tax credit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 related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Consultant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 franchise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Donation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Other Operating Expense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incurred merger-related expenses of $33.7 million for the six months ended June 30, 2026, including $1.2 million of which were incurred during the three months ended March 31, 2026. These expenses are included in the consultant fees, audit fees, legal expense, and other line items detailed in other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14— Share-Based Compensation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share-based incentive plan described below that allows it to offer a variety of equity compensation awards subject to approval. Total compensation cost that has been charged against income for equity compensation awards granted was $3.0 million and $1.5 million for the three months ended June 30, 2026, and June 30, 2025, respectively. The total income tax benefit was $697.1 thousand and $310.4 thousand for the three months ended June 30, 2026, and June 30, 2025, respectively.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Total compensation cost that has been charged against income for equity compensation awards granted was $4.1 million and $2.4 million for the six months ended June 30, 2026, and June 30, 2025, respectively. The total income tax benefit was $945.6 thousand and $499.5 thousand for the six months ended June 30, 2026, and June 30, 2025, respectively. </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2019 Stock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2019, the Company’s Stock Incentive Plan (“2019 SIP”) was approved by the Bank’s Board of Directors (the “Bank Board”). The 2019 SIP provides for the issuance of share-based awards to directors and employees of the Company. The 2019 SIP authorized 240,000 units to be issued, and the Company’s practice is using authorized unissued shares to satisfy these share-based awards. Each unit represents a contingent right to receive one common share or an equivalent amount of cash, or a combination of the two, at the discretion of the Company. Currently, we have a sufficient number of authorized unissued shares to satisfy all outstanding equity awards.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the 2019 SIP, the Company has issued restricted stock unit (“RSU”) awards that are both time-based and performance-based. Each RSU award will indicate the number of shares, the conditions (e.g., service, performance, and/or a combination), and the grant date. Compensation expense is recognized over the vesting period of the awards based on the fair value of the award at grant date. No new awards are issuable under the 2019 SIP.</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2023 Stock Incentive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2023, a new stock incentive plan (“2023 SIP”) was approved by the Company’s Board of Directors (the “Board”) and shareholders. Following shareholder approval of the 2013 SIP on March 30, 2023, no further share-based awards will be issued under the 2019 SIP. The 2023 SIP provides for the issuance of share-based awards to directors and employees of the Company. The 2023 SIP authorized the issuance of 250,000 shares, subject to an annual increase in available shares and the addition of shares recycled from the 2019 SIP that were cancelled. Based on our shares outstanding as of June 30, 2026, and awards that were recycled from the 2019 SIP, the total shares authorized for issuance under the plan as of June 30, 2026 was 474,578.</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total of 118,192 and 96,132 shares were issued during the six months ended June 30, 2026, and June 30, 2025, respectively.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 time-based RSUs, the fair value was determined by using the closing stock price on the date prior to the grant date. These RSUs vest over three years.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from time to time, approves performance-based RSU awards that may be earned between a three to five year performance period. Whether or not units are earned at the end of the performance period will be determined based on the achievement of performance and/or market targets (e.g., market capitalization target) over the performance period. If the conditions are achieved, the grant recipient will receive 100% of the units granted as these awards do not provide for a multiplier effect. The performance/market targets are determined by the Board.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for performance-based RSU awards was determined by using a Monte Carlo simulation analysis to estimate the achievement of the market capitalization target determined by the Board. The Monte Carlo simulation analysis required the following inputs: (1) expected term, (2) expected volatility, (3) risk-free rate, and (4) dividend yield. The expected term was based on the stated performance period. Management used the expected volatility from a peer group. The risk-free interest rate is based on the U.S. Treasury yield curve over the performance period. The dividend yield assumption was based on historical and anticipated dividend payouts.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Share-Based Compensation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all the Company’s RSU awards issued under both the 2019 SIP and 2023 SIP:</w:t>
      </w:r>
    </w:p>
    <w:tbl>
      <w:tblPr>
        <w:tblW w:w="7780" w:type="dxa"/>
        <w:jc w:val="left"/>
        <w:tblInd w:w="0" w:type="dxa"/>
        <w:tblLayout w:type="fixed"/>
        <w:tblCellMar>
          <w:top w:w="28" w:type="dxa"/>
          <w:left w:w="28" w:type="dxa"/>
          <w:bottom w:w="28" w:type="dxa"/>
          <w:right w:w="28" w:type="dxa"/>
        </w:tblCellMar>
      </w:tblPr>
      <w:tblGrid>
        <w:gridCol w:w="1038"/>
        <w:gridCol w:w="910"/>
        <w:gridCol w:w="917"/>
        <w:gridCol w:w="109"/>
        <w:gridCol w:w="109"/>
        <w:gridCol w:w="109"/>
        <w:gridCol w:w="413"/>
        <w:gridCol w:w="413"/>
        <w:gridCol w:w="196"/>
        <w:gridCol w:w="109"/>
        <w:gridCol w:w="109"/>
        <w:gridCol w:w="109"/>
        <w:gridCol w:w="696"/>
        <w:gridCol w:w="2033"/>
        <w:gridCol w:w="510"/>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Non-vested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Grant-Date Fair Value</w:t>
            </w:r>
          </w:p>
        </w:tc>
      </w:tr>
      <w:tr>
        <w:trPr/>
        <w:tc>
          <w:tcPr>
            <w:tcW w:w="28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180,849 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59.43 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66.16 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58.22 </w:t>
            </w:r>
          </w:p>
        </w:tc>
        <w:tc>
          <w:tcPr>
            <w:tcW w:w="5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233,026 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5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was $11.1 million of total unrecognized compensation costs related to non-vested shares granted under both the 2019 SIP and 2023 SIP. The cost is expected to be recognized over a weighted average period of 1.97 years. </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2023 Employee Stock Purchase Plan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2023, an employee stock purchase plan (“2023 ESPP”) was approved by the Board and shareholders. Upon the 2023 ESPP’s shareholder approval date of March 30, 2023, the 2023 ESPP reserved 250,000 shares of common stock for issuance to employees, subject to an annual increase in reserved shares. At June 30, 2026, 473,978 shares were available to be issued. Whole shares are sold to participants in the 2023 ESPP at 85% of the lower of the stock price at the beginning or end of each semi-annual offering period. The first semi-annual offering period began on September 1, 2023, and the current semi-annual offering period began on March 1, 2026. Eligible employees may purchase shares in an amount that does not exceed the lesser of the IRS limit of $25,000 or 15% of their annual salary.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for the 2023 ESPP for the six months ended June 30, 2026:</w:t>
      </w:r>
    </w:p>
    <w:tbl>
      <w:tblPr>
        <w:tblW w:w="5245" w:type="dxa"/>
        <w:jc w:val="left"/>
        <w:tblInd w:w="0" w:type="dxa"/>
        <w:tblLayout w:type="fixed"/>
        <w:tblCellMar>
          <w:top w:w="28" w:type="dxa"/>
          <w:left w:w="28" w:type="dxa"/>
          <w:bottom w:w="28" w:type="dxa"/>
          <w:right w:w="28" w:type="dxa"/>
        </w:tblCellMar>
      </w:tblPr>
      <w:tblGrid>
        <w:gridCol w:w="1356"/>
        <w:gridCol w:w="1192"/>
        <w:gridCol w:w="1201"/>
        <w:gridCol w:w="109"/>
        <w:gridCol w:w="109"/>
        <w:gridCol w:w="109"/>
        <w:gridCol w:w="251"/>
        <w:gridCol w:w="735"/>
        <w:gridCol w:w="183"/>
      </w:tblGrid>
      <w:tr>
        <w:trPr/>
        <w:tc>
          <w:tcPr>
            <w:tcW w:w="1356"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price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expense recognized (in 000's)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Stock Appreciation Rights (“SARs”)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Upon completion of the Summit Merger, Burke &amp; Herbert assumed SAR awards that had been issued to existing employees that would continue with the same terms and conditions adjusted for the exchange ratio of 0.5043. As part of the Summit Merger, a significant portion of SAR awards accelerated their vesting and thus did not require any future service component. Management used the Black-Scholes option-pricing model to fair value these accelerated SAR awards and included this value as part of the purchase price for the Summit Merger .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also used the Black-Scholes option-pricing model to fair value the non-accelerated SAR awards that were not fully vested. The SAR awards that have been assumed by the Company, were issued in 2019, 2021, and 2023, and these SAR awards become exercisable ratably over seven years (14.3% per year) and contractually expire ten years after the grant date. As of June 30, 2026, there were 106,883 SARs outstanding with a weighted average exercise price of $48.10. These options have a remaining expense amount of $263 thousand that will be recognized throughout the next 3.10 years.</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Stock Options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Upon completion of the LNKB Merger and as part of the Merger Agreement, the Company assumed incentive stock options and non-qualified stock option awards that had been issued to existing employees that will continue with the same terms and conditions, adjusted for the exchange ratio of 0.135. As of June 30, 2026, there were 68,219 outstanding stock options with a weighted average exercise price of $68.43. The stock options were acquired through the LNKB Merger and were valued upon acquisition using the Black-Scholes method. This resulted in a remaining expense on these stock options of $173 thousand that will be recognized throughout the next 2.4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Share-Based Compensation (continued)</w:t>
      </w:r>
    </w:p>
    <w:p>
      <w:pPr>
        <w:pStyle w:val="TextBody"/>
        <w:bidi w:val="0"/>
        <w:spacing w:lineRule="auto" w:line="288" w:before="0" w:after="180"/>
        <w:jc w:val="both"/>
        <w:rPr>
          <w:rFonts w:ascii="Times New Roman;serif" w:hAnsi="Times New Roman;serif"/>
          <w:b/>
          <w:color w:val="000000"/>
          <w:sz w:val="20"/>
          <w:u w:val="single"/>
        </w:rPr>
      </w:pPr>
      <w:r>
        <w:rPr>
          <w:rFonts w:ascii="Times New Roman;serif" w:hAnsi="Times New Roman;serif"/>
          <w:b/>
          <w:color w:val="000000"/>
          <w:sz w:val="20"/>
          <w:u w:val="single"/>
        </w:rPr>
        <w:t>Warrants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LNKB Merger, the Company assumed stock purchase warrants that were initially issued by LNKB in connection with LNKB’s initial stock offering via private placement, giving organizers the right to purchase shares of common stock at the initial offering price of $10.00 per share, or $74.07 per share as adjusted by the LNKB Merger’s exchange ratio. For organizers, the warrants serve as a reward for bearing the financial risk of the Company’s organization by advancing “seed money” for its organizational and pre-opening expenses. The organizers’ warrants are non-voting and are exercisable for a period of ten years from the date of grant. All grants were issued during 2019. These warrants are transferable in accordance with the warrant agreement, but are not puttable to the Company. These shares may be issued from previously authorized but unissued shares of stock. To date, organizers have not exercised any warrants since their issuance. As of June 30, 2026, there were 207,560 warrants outstanding with a strike price of $74.07 and a total fair value of $2.5 million.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Board has made no additional authorization to issue any further warrants as of June 30, 2026, and has no current plans for future issuance of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Earnings Per Share</w:t>
      </w:r>
    </w:p>
    <w:p>
      <w:pPr>
        <w:pStyle w:val="TextBody"/>
        <w:bidi w:val="0"/>
        <w:spacing w:lineRule="auto" w:line="288" w:before="0" w:after="180"/>
        <w:jc w:val="both"/>
        <w:rPr/>
      </w:pPr>
      <w:r>
        <w:rPr>
          <w:rFonts w:ascii="Times New Roman;serif" w:hAnsi="Times New Roman;serif"/>
          <w:b w:val="false"/>
          <w:color w:val="000000"/>
          <w:sz w:val="20"/>
        </w:rPr>
        <w:t xml:space="preserve">Basic earnings per share excludes dilution and is computed by dividing net income applicable to common shares by the weighted average number of common shares outstanding for the period. Diluted earnings per share reflects the potential impact of contingently issuable shares. The Company uses the treasury stock method as described by ASC 260 - </w:t>
      </w:r>
      <w:r>
        <w:rPr>
          <w:rFonts w:ascii="Times New Roman;serif" w:hAnsi="Times New Roman;serif"/>
          <w:b w:val="false"/>
          <w:i/>
          <w:color w:val="000000"/>
          <w:sz w:val="20"/>
        </w:rPr>
        <w:t>Earnings Per Share</w:t>
      </w:r>
      <w:r>
        <w:rPr>
          <w:color w:val="000000"/>
        </w:rPr>
        <w:t xml:space="preserve"> </w:t>
      </w:r>
      <w:r>
        <w:rPr>
          <w:rFonts w:ascii="Times New Roman;serif" w:hAnsi="Times New Roman;serif"/>
          <w:b w:val="false"/>
          <w:color w:val="000000"/>
          <w:sz w:val="20"/>
        </w:rPr>
        <w:t xml:space="preserve">for each dilutive instrument when computing diluted earnings per share.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shows the weighted average number of shares used in computing earnings per share and the effect of weighted average number of shares dilutive potential common stock. Dilutive potential common stock has no effect on income available to common shareholders. </w:t>
      </w:r>
    </w:p>
    <w:tbl>
      <w:tblPr>
        <w:tblW w:w="10205" w:type="dxa"/>
        <w:jc w:val="left"/>
        <w:tblInd w:w="0" w:type="dxa"/>
        <w:tblLayout w:type="fixed"/>
        <w:tblCellMar>
          <w:top w:w="28" w:type="dxa"/>
          <w:left w:w="28" w:type="dxa"/>
          <w:bottom w:w="28" w:type="dxa"/>
          <w:right w:w="28" w:type="dxa"/>
        </w:tblCellMar>
      </w:tblPr>
      <w:tblGrid>
        <w:gridCol w:w="1479"/>
        <w:gridCol w:w="1302"/>
        <w:gridCol w:w="1310"/>
        <w:gridCol w:w="109"/>
        <w:gridCol w:w="109"/>
        <w:gridCol w:w="109"/>
        <w:gridCol w:w="275"/>
        <w:gridCol w:w="806"/>
        <w:gridCol w:w="109"/>
        <w:gridCol w:w="109"/>
        <w:gridCol w:w="109"/>
        <w:gridCol w:w="109"/>
        <w:gridCol w:w="244"/>
        <w:gridCol w:w="837"/>
        <w:gridCol w:w="109"/>
        <w:gridCol w:w="109"/>
        <w:gridCol w:w="109"/>
        <w:gridCol w:w="109"/>
        <w:gridCol w:w="244"/>
        <w:gridCol w:w="837"/>
        <w:gridCol w:w="109"/>
        <w:gridCol w:w="109"/>
        <w:gridCol w:w="109"/>
        <w:gridCol w:w="109"/>
        <w:gridCol w:w="244"/>
        <w:gridCol w:w="837"/>
        <w:gridCol w:w="155"/>
      </w:tblGrid>
      <w:tr>
        <w:trPr/>
        <w:tc>
          <w:tcPr>
            <w:tcW w:w="147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applicable to common shares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14,998,857 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14,987,732 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dilutive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18,499,030 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15,023,807 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15,021,229 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securities that could potentially dilute basic earnings per share in future periods that were included in the computation of diluted earnings per share for the periods presented.</w:t>
      </w:r>
    </w:p>
    <w:tbl>
      <w:tblPr>
        <w:tblW w:w="9283" w:type="dxa"/>
        <w:jc w:val="left"/>
        <w:tblInd w:w="0" w:type="dxa"/>
        <w:tblLayout w:type="fixed"/>
        <w:tblCellMar>
          <w:top w:w="28" w:type="dxa"/>
          <w:left w:w="28" w:type="dxa"/>
          <w:bottom w:w="28" w:type="dxa"/>
          <w:right w:w="28" w:type="dxa"/>
        </w:tblCellMar>
      </w:tblPr>
      <w:tblGrid>
        <w:gridCol w:w="1320"/>
        <w:gridCol w:w="1158"/>
        <w:gridCol w:w="1166"/>
        <w:gridCol w:w="109"/>
        <w:gridCol w:w="109"/>
        <w:gridCol w:w="109"/>
        <w:gridCol w:w="415"/>
        <w:gridCol w:w="251"/>
        <w:gridCol w:w="251"/>
        <w:gridCol w:w="251"/>
        <w:gridCol w:w="251"/>
        <w:gridCol w:w="251"/>
        <w:gridCol w:w="415"/>
        <w:gridCol w:w="251"/>
        <w:gridCol w:w="251"/>
        <w:gridCol w:w="109"/>
        <w:gridCol w:w="109"/>
        <w:gridCol w:w="109"/>
        <w:gridCol w:w="375"/>
        <w:gridCol w:w="224"/>
        <w:gridCol w:w="224"/>
        <w:gridCol w:w="224"/>
        <w:gridCol w:w="224"/>
        <w:gridCol w:w="224"/>
        <w:gridCol w:w="362"/>
        <w:gridCol w:w="224"/>
        <w:gridCol w:w="317"/>
      </w:tblGrid>
      <w:tr>
        <w:trPr/>
        <w:tc>
          <w:tcPr>
            <w:tcW w:w="132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appreciation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115,551</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115,551</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167,024</w:t>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165,442</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169,839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280,993</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285,390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Earnings Per Share (continued)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securities that could potentially dilute basic earnings per share in future periods that were not included in the computation of diluted earnings per share because inclusion would have been anti-dilutive for the periods presented.</w:t>
      </w:r>
    </w:p>
    <w:tbl>
      <w:tblPr>
        <w:tblW w:w="9033" w:type="dxa"/>
        <w:jc w:val="left"/>
        <w:tblInd w:w="0" w:type="dxa"/>
        <w:tblLayout w:type="fixed"/>
        <w:tblCellMar>
          <w:top w:w="28" w:type="dxa"/>
          <w:left w:w="28" w:type="dxa"/>
          <w:bottom w:w="28" w:type="dxa"/>
          <w:right w:w="28" w:type="dxa"/>
        </w:tblCellMar>
      </w:tblPr>
      <w:tblGrid>
        <w:gridCol w:w="1321"/>
        <w:gridCol w:w="1159"/>
        <w:gridCol w:w="1165"/>
        <w:gridCol w:w="109"/>
        <w:gridCol w:w="109"/>
        <w:gridCol w:w="109"/>
        <w:gridCol w:w="289"/>
        <w:gridCol w:w="289"/>
        <w:gridCol w:w="251"/>
        <w:gridCol w:w="251"/>
        <w:gridCol w:w="251"/>
        <w:gridCol w:w="251"/>
        <w:gridCol w:w="289"/>
        <w:gridCol w:w="289"/>
        <w:gridCol w:w="251"/>
        <w:gridCol w:w="109"/>
        <w:gridCol w:w="109"/>
        <w:gridCol w:w="109"/>
        <w:gridCol w:w="374"/>
        <w:gridCol w:w="224"/>
        <w:gridCol w:w="224"/>
        <w:gridCol w:w="224"/>
        <w:gridCol w:w="224"/>
        <w:gridCol w:w="224"/>
        <w:gridCol w:w="256"/>
        <w:gridCol w:w="256"/>
        <w:gridCol w:w="317"/>
      </w:tblGrid>
      <w:tr>
        <w:trPr/>
        <w:tc>
          <w:tcPr>
            <w:tcW w:w="1321"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Antidilutive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and stock appreciation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17,109</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17,109</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26,042</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207,560</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207,560</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67,584</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63,187</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188,379</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292,253</w:t>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287,856</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214,421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Business Combination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on May 1, 2026, Burke &amp; Herbert completed the LNKB Merger. In the LNKB Merger, holders of LNKB Common Stock outstanding at the Effective Time of the LNKB Merger received 0.135 shares of Burke &amp; Herbert common stock for each share of LNKB Common Stock they owned, subject to the payment of cash in lieu of fractional shares. The total aggregate consideration payable in the LNKB Merger was approximately 5,082,605 shares of Burke &amp; Herbert common stock. </w:t>
      </w:r>
    </w:p>
    <w:p>
      <w:pPr>
        <w:pStyle w:val="TextBody"/>
        <w:bidi w:val="0"/>
        <w:spacing w:before="0" w:after="0"/>
        <w:jc w:val="both"/>
        <w:rPr/>
      </w:pPr>
      <w:r>
        <w:rPr/>
      </w:r>
    </w:p>
    <w:p>
      <w:pPr>
        <w:pStyle w:val="TextBody"/>
        <w:bidi w:val="0"/>
        <w:spacing w:lineRule="auto" w:line="288" w:before="0" w:after="180"/>
        <w:jc w:val="both"/>
        <w:rPr/>
      </w:pPr>
      <w:r>
        <w:rPr>
          <w:rFonts w:ascii="Times New Roman;serif" w:hAnsi="Times New Roman;serif"/>
          <w:b w:val="false"/>
          <w:color w:val="000000"/>
          <w:sz w:val="20"/>
        </w:rPr>
        <w:t xml:space="preserve">LNKB’s results of operations from May 1, 2026, were included in the Company’s results beginning with reporting as of June 30, 2026. Net interest income and income before income taxes for LNKB were estimated to be $18.1 million and $5.0 million, respectively, since the date of the acquisition through June 30, 2026, and are included in the Company’s Consolidated Statement of Income. LNKB Merger-related costs of $33.7 million are included in non-interest expense in the Company’s income statement for the six months ended June 30, 2026. A portion of these LNKB Merger-related costs are captured in the line item Other Operating Non-Interest Expense on the consolidated Income Statement with further description in </w:t>
      </w:r>
      <w:hyperlink w:anchor="ib9c5802e33ec4b258c2b42fcff6434e5_70">
        <w:r>
          <w:rPr>
            <w:rStyle w:val="InternetLink"/>
            <w:rFonts w:ascii="Times New Roman;serif" w:hAnsi="Times New Roman;serif"/>
            <w:b w:val="false"/>
            <w:color w:val="0000FF"/>
            <w:sz w:val="20"/>
            <w:u w:val="single"/>
          </w:rPr>
          <w:t>Note 13 - Other Operating Expense</w:t>
        </w:r>
      </w:hyperlink>
      <w:r>
        <w:rPr>
          <w:rFonts w:ascii="Times New Roman;serif" w:hAnsi="Times New Roman;serif"/>
          <w:b w:val="false"/>
          <w:color w:val="000000"/>
          <w:sz w:val="20"/>
        </w:rPr>
        <w:t xml:space="preserve">. The fair value of the common shares issued as part of the consideration paid for LNKB was determined on the basis of the closing price of the Company’s common shares on the date of completion of the LNKB Merger.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accounted for the LNKB Merger using the acquisition method of accounting in accordance with ASC 805, Business Combinations, and accordingly, the assets and liabilities of LNKB were recorded at their respective fair values on the date of completion of the LNKB Merger. We recognized goodwill of $82.1 million in connection with the acquisition, which is not amortized for financial reporting purposes, but is subject to annual impairment testing. The goodwill arising from the transaction is not deductible for tax purposes and consisted largely of synergies and the cost savings resulting from the combining of the operations of the companies. The fair values of assets and liabilities are subject to refinement for up to one year after the acquisition date if any additional information relative to the acquisition date fair values becomes available. This one year period will expire during the quarter ending June 30, 2027.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adjustments to or acquired goodwill subsequent to December 31, 2025 (in thousands):</w:t>
      </w:r>
    </w:p>
    <w:p>
      <w:pPr>
        <w:pStyle w:val="TextBody"/>
        <w:bidi w:val="0"/>
        <w:spacing w:before="0" w:after="0"/>
        <w:jc w:val="both"/>
        <w:rPr/>
      </w:pPr>
      <w:r>
        <w:rPr/>
      </w:r>
    </w:p>
    <w:tbl>
      <w:tblPr>
        <w:tblW w:w="7728" w:type="dxa"/>
        <w:jc w:val="left"/>
        <w:tblInd w:w="0" w:type="dxa"/>
        <w:tblLayout w:type="fixed"/>
        <w:tblCellMar>
          <w:top w:w="28" w:type="dxa"/>
          <w:left w:w="28" w:type="dxa"/>
          <w:bottom w:w="28" w:type="dxa"/>
          <w:right w:w="28" w:type="dxa"/>
        </w:tblCellMar>
      </w:tblPr>
      <w:tblGrid>
        <w:gridCol w:w="2248"/>
        <w:gridCol w:w="1975"/>
        <w:gridCol w:w="1987"/>
        <w:gridCol w:w="109"/>
        <w:gridCol w:w="109"/>
        <w:gridCol w:w="109"/>
        <w:gridCol w:w="211"/>
        <w:gridCol w:w="826"/>
        <w:gridCol w:w="154"/>
      </w:tblGrid>
      <w:tr>
        <w:trPr/>
        <w:tc>
          <w:tcPr>
            <w:tcW w:w="2248"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Goodwill</w:t>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in acquisition of Burke &amp; Herbert Wealth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acquired in acquisition of LNKB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core deposit intangible represents the value of long-term deposit relationships acquired in this transaction and will be amortized over an estimated weighted average life of 7 years using an accelerated method which approximates the estimated run-off of the acquired deposits. The fair value of intangible assets related to core deposits was $48.2 million on the date of acquisition.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purchased financial assets with credit deterioration was $80.9 million on the date of the acquisition. The gross contractual amounts receivable relating to the purchased financial assets with credit deterioration was $97.5 million. At acquisition, all of the securities, held-to-maturity, were reclassified as available-for-sale.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Business Combination (continued)</w:t>
      </w:r>
    </w:p>
    <w:p>
      <w:pPr>
        <w:pStyle w:val="TextBody"/>
        <w:bidi w:val="0"/>
        <w:spacing w:before="0" w:after="0"/>
        <w:jc w:val="both"/>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details the total consideration paid for LNKB on May 1, 2026, the fair values of the assets acquired and liabilities assumed and the resulting goodwill at the acquisition date.</w:t>
      </w:r>
    </w:p>
    <w:tbl>
      <w:tblPr>
        <w:tblW w:w="7046" w:type="dxa"/>
        <w:jc w:val="left"/>
        <w:tblInd w:w="0" w:type="dxa"/>
        <w:tblLayout w:type="fixed"/>
        <w:tblCellMar>
          <w:top w:w="28" w:type="dxa"/>
          <w:left w:w="28" w:type="dxa"/>
          <w:bottom w:w="28" w:type="dxa"/>
          <w:right w:w="28" w:type="dxa"/>
        </w:tblCellMar>
      </w:tblPr>
      <w:tblGrid>
        <w:gridCol w:w="2000"/>
        <w:gridCol w:w="1757"/>
        <w:gridCol w:w="1763"/>
        <w:gridCol w:w="109"/>
        <w:gridCol w:w="109"/>
        <w:gridCol w:w="109"/>
        <w:gridCol w:w="212"/>
        <w:gridCol w:w="832"/>
        <w:gridCol w:w="155"/>
      </w:tblGrid>
      <w:tr>
        <w:trPr/>
        <w:tc>
          <w:tcPr>
            <w:tcW w:w="200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 except share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May 1, 2026</w:t>
            </w:r>
          </w:p>
        </w:tc>
      </w:tr>
      <w:tr>
        <w:trPr/>
        <w:tc>
          <w:tcPr>
            <w:tcW w:w="55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of LINKBANCORP,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37,652,888</w:t>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0.135</w:t>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Burke &amp; Herbert common stock to be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5,083,140 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Burke &amp; Herbert 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5,082,605 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Fractional common stock to be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Actual Burke &amp; Herbert 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5,082,605 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 per share of Burke &amp; Herbert common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price consideration for common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326,862 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Fractional common stock to be paid in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10 day closing price used to pay fractional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fractional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Implied value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Implied value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Fully diluted transaction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329,725 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82,092</w:t>
            </w:r>
            <w:r>
              <w:rPr>
                <w:color w:val="000000"/>
              </w:rPr>
              <w:t>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16— Business Combination (continued)</w:t>
      </w:r>
    </w:p>
    <w:tbl>
      <w:tblPr>
        <w:tblW w:w="10205" w:type="dxa"/>
        <w:jc w:val="left"/>
        <w:tblInd w:w="0" w:type="dxa"/>
        <w:tblLayout w:type="fixed"/>
        <w:tblCellMar>
          <w:top w:w="28" w:type="dxa"/>
          <w:left w:w="28" w:type="dxa"/>
          <w:bottom w:w="28" w:type="dxa"/>
          <w:right w:w="28" w:type="dxa"/>
        </w:tblCellMar>
      </w:tblPr>
      <w:tblGrid>
        <w:gridCol w:w="2100"/>
        <w:gridCol w:w="1818"/>
        <w:gridCol w:w="1807"/>
        <w:gridCol w:w="109"/>
        <w:gridCol w:w="109"/>
        <w:gridCol w:w="109"/>
        <w:gridCol w:w="237"/>
        <w:gridCol w:w="801"/>
        <w:gridCol w:w="120"/>
        <w:gridCol w:w="109"/>
        <w:gridCol w:w="109"/>
        <w:gridCol w:w="109"/>
        <w:gridCol w:w="331"/>
        <w:gridCol w:w="637"/>
        <w:gridCol w:w="173"/>
        <w:gridCol w:w="109"/>
        <w:gridCol w:w="109"/>
        <w:gridCol w:w="109"/>
        <w:gridCol w:w="211"/>
        <w:gridCol w:w="831"/>
        <w:gridCol w:w="158"/>
      </w:tblGrid>
      <w:tr>
        <w:trPr/>
        <w:tc>
          <w:tcPr>
            <w:tcW w:w="210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Recorded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w:t>
            </w:r>
          </w:p>
        </w:tc>
      </w:tr>
      <w:tr>
        <w:trPr/>
        <w:tc>
          <w:tcPr>
            <w:tcW w:w="5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by LNKB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5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May 1, 2026</w:t>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purchase price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329,725 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Recognized amounts of identifiable assets acquired and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available-for-sale,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held-to-maturity, at amortized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and 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2,600,294 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2,578,088 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net of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2,572,921 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(23,340)</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2,549,581 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54,298 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3,126,334 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(50,812)</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3,075,522 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2,562,680 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2,562,787 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Subordinated debentures and trust preferred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62,318 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Unfunded reserve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2,828,172 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2,827,889 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298,162 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(50,529)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247,633 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82,092</w:t>
            </w:r>
            <w:r>
              <w:rPr>
                <w:color w:val="000000"/>
              </w:rPr>
              <w:t> </w:t>
            </w:r>
          </w:p>
        </w:tc>
        <w:tc>
          <w:tcPr>
            <w:tcW w:w="15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acquisition, all of the securities, held-to-maturity were reclassified as available-for-sale.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pro forma information as if the LNKB Merger had occurred on January 1, 2025. The unaudited pro forma information includes adjustments for non-recurring operating expenses and the related income tax effects. The pro forma financial information is not necessarily indicative of the results of operations that would have occurred had the transaction been effected on the assumed dates.</w:t>
      </w:r>
    </w:p>
    <w:p>
      <w:pPr>
        <w:pStyle w:val="TextBody"/>
        <w:bidi w:val="0"/>
        <w:spacing w:before="0" w:after="0"/>
        <w:jc w:val="both"/>
        <w:rPr/>
      </w:pPr>
      <w:r>
        <w:rPr/>
      </w:r>
    </w:p>
    <w:tbl>
      <w:tblPr>
        <w:tblW w:w="7633" w:type="dxa"/>
        <w:jc w:val="left"/>
        <w:tblInd w:w="0" w:type="dxa"/>
        <w:tblLayout w:type="fixed"/>
        <w:tblCellMar>
          <w:top w:w="28" w:type="dxa"/>
          <w:left w:w="28" w:type="dxa"/>
          <w:bottom w:w="28" w:type="dxa"/>
          <w:right w:w="28" w:type="dxa"/>
        </w:tblCellMar>
      </w:tblPr>
      <w:tblGrid>
        <w:gridCol w:w="614"/>
        <w:gridCol w:w="539"/>
        <w:gridCol w:w="542"/>
        <w:gridCol w:w="109"/>
        <w:gridCol w:w="109"/>
        <w:gridCol w:w="109"/>
        <w:gridCol w:w="220"/>
        <w:gridCol w:w="862"/>
        <w:gridCol w:w="113"/>
        <w:gridCol w:w="113"/>
        <w:gridCol w:w="113"/>
        <w:gridCol w:w="113"/>
        <w:gridCol w:w="220"/>
        <w:gridCol w:w="753"/>
        <w:gridCol w:w="113"/>
        <w:gridCol w:w="109"/>
        <w:gridCol w:w="109"/>
        <w:gridCol w:w="109"/>
        <w:gridCol w:w="211"/>
        <w:gridCol w:w="826"/>
        <w:gridCol w:w="109"/>
        <w:gridCol w:w="109"/>
        <w:gridCol w:w="109"/>
        <w:gridCol w:w="109"/>
        <w:gridCol w:w="211"/>
        <w:gridCol w:w="82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17— Goodwill and Other Intangible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goodwill for the three and six months ended June 30, 2026, and June 30, 2025, (in thousands):</w:t>
      </w:r>
    </w:p>
    <w:tbl>
      <w:tblPr>
        <w:tblW w:w="7556" w:type="dxa"/>
        <w:jc w:val="left"/>
        <w:tblInd w:w="0" w:type="dxa"/>
        <w:tblLayout w:type="fixed"/>
        <w:tblCellMar>
          <w:top w:w="28" w:type="dxa"/>
          <w:left w:w="28" w:type="dxa"/>
          <w:bottom w:w="28" w:type="dxa"/>
          <w:right w:w="28" w:type="dxa"/>
        </w:tblCellMar>
      </w:tblPr>
      <w:tblGrid>
        <w:gridCol w:w="663"/>
        <w:gridCol w:w="581"/>
        <w:gridCol w:w="585"/>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66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34,149 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118,345 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34,149 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val="false"/>
          <w:color w:val="000000"/>
          <w:sz w:val="20"/>
        </w:rPr>
        <w:t xml:space="preserve">During the six months ended June 30, 2026, the Company recorded $82.1 million associated with the LNKB Merger and $2.1 million of additional goodwill associated with the acquisition of Burke &amp; Herbert Wealth Services, LLC, formerly known as Piedmont Wealth Management. See </w:t>
      </w:r>
      <w:hyperlink w:anchor="ib9c5802e33ec4b258c2b42fcff6434e5_79">
        <w:r>
          <w:rPr>
            <w:rStyle w:val="InternetLink"/>
            <w:rFonts w:ascii="Times New Roman;serif" w:hAnsi="Times New Roman;serif"/>
            <w:b w:val="false"/>
            <w:color w:val="0000FF"/>
            <w:sz w:val="20"/>
            <w:u w:val="single"/>
          </w:rPr>
          <w:t>Note 16 - Business Combination</w:t>
        </w:r>
      </w:hyperlink>
      <w:r>
        <w:rPr>
          <w:color w:val="000000"/>
        </w:rPr>
        <w:t xml:space="preserve"> </w:t>
      </w:r>
      <w:r>
        <w:rPr>
          <w:rFonts w:ascii="Times New Roman;serif" w:hAnsi="Times New Roman;serif"/>
          <w:b w:val="false"/>
          <w:color w:val="000000"/>
          <w:sz w:val="20"/>
        </w:rPr>
        <w:t>to the consolidated financial statements for additional detail regarding the transaction with LNKB.</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performs the annual goodwill impairment test on September 30 every year.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Other intangible assets consist of the core deposit intangible which is being amortized on an accelerated basis over its estimated useful life of 7 years. At the Closing Date of the LNKB Merger, the Company recorded $48.2 million of core deposit intangibles associated with the acquisition.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gross carrying amount and accumulated amortization of core deposit intangibles for the three and six months ended June 30, 2026, and June 30, 2025, was as follows (in thousands):</w:t>
      </w:r>
    </w:p>
    <w:tbl>
      <w:tblPr>
        <w:tblW w:w="8306" w:type="dxa"/>
        <w:jc w:val="left"/>
        <w:tblInd w:w="0" w:type="dxa"/>
        <w:tblLayout w:type="fixed"/>
        <w:tblCellMar>
          <w:top w:w="28" w:type="dxa"/>
          <w:left w:w="28" w:type="dxa"/>
          <w:bottom w:w="28" w:type="dxa"/>
          <w:right w:w="28" w:type="dxa"/>
        </w:tblCellMar>
      </w:tblPr>
      <w:tblGrid>
        <w:gridCol w:w="1011"/>
        <w:gridCol w:w="886"/>
        <w:gridCol w:w="892"/>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deposit intangible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core deposit intangible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80,754 </w:t>
            </w:r>
          </w:p>
        </w:tc>
        <w:tc>
          <w:tcPr>
            <w:tcW w:w="10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49,114 </w:t>
            </w:r>
          </w:p>
        </w:tc>
        <w:tc>
          <w:tcPr>
            <w:tcW w:w="15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reviews other intangible assets for possible impairment whenever events or changes in circumstances indicate that the carrying amounts may not be recoverable. Total amortization expense associated with intangible assets was $9.2 million for the six months ended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Estimated amortization expense for future years is as follows (in thousands):</w:t>
      </w:r>
    </w:p>
    <w:tbl>
      <w:tblPr>
        <w:tblW w:w="6446" w:type="dxa"/>
        <w:jc w:val="left"/>
        <w:tblInd w:w="0" w:type="dxa"/>
        <w:tblLayout w:type="fixed"/>
        <w:tblCellMar>
          <w:top w:w="28" w:type="dxa"/>
          <w:left w:w="28" w:type="dxa"/>
          <w:bottom w:w="28" w:type="dxa"/>
          <w:right w:w="28" w:type="dxa"/>
        </w:tblCellMar>
      </w:tblPr>
      <w:tblGrid>
        <w:gridCol w:w="1533"/>
        <w:gridCol w:w="1346"/>
        <w:gridCol w:w="1350"/>
        <w:gridCol w:w="109"/>
        <w:gridCol w:w="109"/>
        <w:gridCol w:w="109"/>
        <w:gridCol w:w="366"/>
        <w:gridCol w:w="1254"/>
        <w:gridCol w:w="270"/>
      </w:tblGrid>
      <w:tr>
        <w:trPr/>
        <w:tc>
          <w:tcPr>
            <w:tcW w:w="15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Amortization</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six months ending, 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22,069 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17,668 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80,754 </w:t>
            </w:r>
          </w:p>
        </w:tc>
        <w:tc>
          <w:tcPr>
            <w:tcW w:w="2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before="0" w:after="180"/>
        <w:jc w:val="both"/>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18— Segment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operates in one reportable segment, Community Banking. The Company's Chief Executive Officer has been identified as the chief operating decision maker (“CODM”). The CODM uses consolidated net income to evaluate the Company's overall operating performance and to allocate capital and other resources. While the CODM reviews information regarding the Company's products, services, revenue streams, and other operating activities, these activities are managed and evaluated on a consolidated basis. Information regarding individual business activities is reviewed for operational management purposes and not for the purpose of allocating resources among separate operating segments. Accordingly, the Company has concluded that it operates in a single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jc w:val="both"/>
        <w:rPr/>
      </w:pPr>
      <w:r>
        <w:rPr>
          <w:rFonts w:ascii="Times New Roman;serif" w:hAnsi="Times New Roman;serif"/>
          <w:b w:val="false"/>
          <w:color w:val="000000"/>
          <w:sz w:val="20"/>
        </w:rPr>
        <w:t xml:space="preserve">The following discussion and analysis of our consolidated financial condition and results of operations of the Company should be read in conjunction with the preceding consolidated financial statements and notes presented in </w:t>
      </w:r>
      <w:hyperlink w:anchor="ib9c5802e33ec4b258c2b42fcff6434e5_13">
        <w:r>
          <w:rPr>
            <w:rStyle w:val="InternetLink"/>
            <w:rFonts w:ascii="Times New Roman;serif" w:hAnsi="Times New Roman;serif"/>
            <w:b w:val="false"/>
            <w:color w:val="0000FF"/>
            <w:sz w:val="20"/>
            <w:u w:val="single"/>
          </w:rPr>
          <w:t>Item 1. Financial Statements</w:t>
        </w:r>
      </w:hyperlink>
      <w:r>
        <w:rPr>
          <w:color w:val="000000"/>
        </w:rPr>
        <w:t xml:space="preserve"> </w:t>
      </w:r>
      <w:r>
        <w:rPr>
          <w:rFonts w:ascii="Times New Roman;serif" w:hAnsi="Times New Roman;serif"/>
          <w:b w:val="false"/>
          <w:color w:val="000000"/>
          <w:sz w:val="20"/>
        </w:rPr>
        <w:t>of this Form 10-Q, as well as with the audited consolidated financial statements and notes for the year ended December 31, 2025, included in our Form 10-K filed with the SEC on February 27, 2026 (the “Form 10-K”). Historical results of operations and the percentage relationships among any amounts included and any trends that may appear may not indicate trends in operations or results of operations for any future periods. We are a financial holding company, and we conduct all of our material business operations through the Bank. As a result, the discussion and analysis below primarily relate to activities conducted at the Bank.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Form 10-Q contains statements that we believe are, or may be considered to be, “forward-looking statements,” within the meaning of the Private Securities Litigation Reform Act of 1995, Section 27A of the Securities Act of 1933, as amended, and Section 21E of the Securities Exchange Act of 1934, as amended, with respect to the beliefs, goals, intentions, and expectations of the Company regarding our: merger with LNKB and the expected cost savings, synergies, returns, and other anticipated benefits from the integration of LNKB; revenues, earnings, earnings per share, loan production, asset quality, and capital levels, among other matters; estimates of the future costs and benefits of the actions we may take; assessments of expected losses on loans; assessments of interest rate and other market risks; ability to achieve our financial and other strategic goals; and other statements that are not historical facts.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are neither historical facts nor assurances of future performance. Instead, they are based on current beliefs, expectations, or assumptions regarding the future of the business, future plans and strategies, operational results, and other future conditions of the Company. All statements other than statements of historical fact included in this Form 10-Q regarding the prospects of our industry or our prospects, plans, financial position, or business strategy may constitute forward-looking statements. In addition, forward-looking statements generally can be identified by the use of forward-looking words such as “plans,” “expects” or “does not expect,” “is expected,” “look forward to,” “budget,” “scheduled,” “estimates,” “forecasts,” “will continue,” “intends,” “the intent of,” “have the potential,” “anticipates,” “does not anticipate,” “believes,” “should,” “should not,” or variations of such words and phrases that indicate that certain actions, events, or results “may,” “could,” “would,” “might,” or “will,” “be taken,” “occur,” or “be achieved,” or the negative of these terms or variations of them or similar terms. Additionally, forward–looking statements speak only as of the date they are made; the Company does not assume any duty, does not undertake, and specifically disclaims any obligation to update such forward–looking statements, whether written or oral, that may be made from time to time, whether because of new information, future events, or otherwise, except as required by law. Furthermore, because forward–looking statements are subject to assumptions and uncertainties, actual results or future events could differ, possibly materially, from those indicated in or implied by such forward-looking statements because of a variety of factors, many of which are beyond the control of the Company. Further, factors identified herein are not necessarily all of the factors that could cause the Company’s actual results, performance or achievements to differ materially from those expressed in or implied by any of the forward-looking statements. Other factors, including unknown or unpredictable factors, also could harm the Company. Accordingly, you should consider all of these risks, uncertainties and other factors carefully in evaluating all such forward-looking statements made by the Company and not place undue reliance on forward-looking statements. The risks and uncertainties that could cause actual results to differ from those described in the forward-looking statements include, but are not limited to, the following: the possibility that the anticipated benefits of the LNKB Merger will not be realized when expected or at all, including as a result of the impact of, or problems arising from (if any), the integration of the two companies or as a result of the strength of the economy and competitive factors in the areas where the Company does business; costs or difficulties associated with newly developed or acquired operations; the possibility that we may be unable to achieve expected synergies and operating efficiencies of the LNKB Merger within the expected timeframes or at all and to successfully integrate LNKB’s operations and those of the Company; that the integration of LNKB may be more difficult, time-consuming or costly than expected; revenues following the LNKB Merger may be lower than expected; the Company’s success in executing its business plans and strategies and managing the risks involved in the foregoing; costs or difficulties associated with newly developed or acquired operations; risks related to the potential impact of global macroeconomic conditions and changes in general economic, political and market factors on the integration of LNKB or our operations generally (either nationally or locally in the areas in which we conduct, or will conduct, business), including inflation, changes in interest rates, market volatility and monetary fluctuations, and changes in federal government policies and practices, including the impact with respect to spending on industries concentrated in our market area, as well as the impact from tariffs on the markets we serve;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pPr>
      <w:r>
        <w:rPr>
          <w:rFonts w:ascii="Times New Roman;serif" w:hAnsi="Times New Roman;serif"/>
          <w:b w:val="false"/>
          <w:color w:val="000000"/>
          <w:sz w:val="20"/>
        </w:rPr>
        <w:t xml:space="preserve">competition; changes in consumer confidence and demand for financial services, including changes in consumer borrowing, repayment, investment, and deposit practices; changes in asset quality and credit risk; our ability to control costs and expenses; adverse developments in borrower industries or declines in real estate values; changes in and compliance with federal and state laws and regulations that pertain to our business and capital levels; our ability to raise capital as needed; the impact, extent and timing of technological changes; the effects of any cybersecurity breaches or events; the development and use of artificial intelligence (“AI”) in business processes, services, and products, including emerging external focus among regulators and other officials related to risks in connection with the development and use of AI; the potential adverse effects of unusual and infrequently occurring events, such as weather-related disasters, terrorist acts, geopolitical conflicts and tensions, or public health events (such as pandemics), and of governmental and societal responses thereto; and the other factors discussed in the “Risk Factors” and “Management's Discussion and Analysis of Financial Condition and Results of Operations” section of the Company's Annual Report on Form 10–K for the year ended December 31, 2025 and in Part I, Item 2. Management’s Discussion and Analysis of Financial Condition and Results of Operations and </w:t>
      </w:r>
      <w:hyperlink w:anchor="ib9c5802e33ec4b258c2b42fcff6434e5_118">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Burke &amp; Herbert was organized as a Virginia corporation in 2022 to serve as the holding company for the Bank. Burke &amp; Herbert became a bank holding company when it commenced operations on October 1, 2022, following a reorganization transaction in which it acquired control of the Bank under the BHCA. This transaction was treated as an internal reorganization as all shareholders of the Bank became shareholders of Burke &amp; Herbert. Burke &amp; Herbert has no material operations other than owning the Bank. In September 2023, Burke &amp; Herbert elected to become a financial holding company under the BHCA. As a financial holding company of a Virginia state bank, Burke &amp; Herbert is subject to regulation, supervision, and examination by the Federal Reserve and the Virginia BFI. The Bank is a Virginia chartered commercial bank that commenced operations in 1852. The Bank became a member of the Federal Reserve System on December 31, 2024. The Bank is subject to regulation, supervision, and examination by the Federal Reserve (through the Federal Reserve Bank of Richmond) and the Virginia BFI.</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Bank’s operations are conducted from it’s over 105 branches and commercial loan offices across Delaware, Kentucky, Maryland, Virginia, West Virginia, and Pennsylvania. The Company’s branch locations accept business and consumer deposits from a diverse customer base. The Company’s deposit products include checking, savings, and term certificate accounts. The Company’s loan portfolio includes commercial and consumer loans, a substantial portion of which are secured by real estate.</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Bank derives a significant portion of its income from interest received on loans and investments. The Bank’s primary source of funding is deposits, both interest-bearing and non-interest-bearing. In order to maximize the Bank’s net interest income, or the difference between the income on interest-earning assets and the expense of interest-bearing liabilities, the Bank must not only manage the volume of these balance sheet items, but also the yields earned on interest-earning assets and the rates paid on interest-bearing liabilities. To account for credit risk inherent in all loans, the Bank maintains an ACL to absorb expected credit losses on existing loans that may become uncollectible. The Bank establishes and maintains this ACL by charging a provision for credit losses against operating earnings. In order to maintain its operations and branch locations, the Bank incurs various operating expenses which are further described within the “Results of Operations” later in this section.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of June 30, 2026, we had total consolidated assets of $11.0 billion, gross loans of $8.0 billion, total deposits of $9.0 billion, and total shareholders’ equity of $1.2 billion. As of June 30, 2026, we had 1,051 full-time employees. None of our employees are covered by a collective bargaining agreement.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Merger with LINKBANCORP Inc.</w:t>
      </w:r>
    </w:p>
    <w:p>
      <w:pPr>
        <w:pStyle w:val="TextBody"/>
        <w:bidi w:val="0"/>
        <w:spacing w:lineRule="auto" w:line="288" w:before="0" w:after="0"/>
        <w:jc w:val="both"/>
        <w:rPr/>
      </w:pPr>
      <w:r>
        <w:rPr>
          <w:rFonts w:ascii="Times New Roman;serif" w:hAnsi="Times New Roman;serif"/>
          <w:b w:val="false"/>
          <w:color w:val="000000"/>
          <w:sz w:val="20"/>
        </w:rPr>
        <w:t xml:space="preserve">Effective on May 1, 2026, Burke &amp; Herbert Financial Services Corp., a Virginia corporation, completed its previously announced merger with LNKB, pursuant to the LNKB Merger Agreement between Burke &amp; Herbert and LNKB. See </w:t>
      </w:r>
      <w:hyperlink w:anchor="ib9c5802e33ec4b258c2b42fcff6434e5_34">
        <w:r>
          <w:rPr>
            <w:rStyle w:val="InternetLink"/>
            <w:rFonts w:ascii="Times New Roman;serif" w:hAnsi="Times New Roman;serif"/>
            <w:b w:val="false"/>
            <w:color w:val="0000FF"/>
            <w:sz w:val="20"/>
            <w:u w:val="single"/>
          </w:rPr>
          <w:t>Note 1 - Nature of Business Activities and Significant Accounting Policies</w:t>
        </w:r>
      </w:hyperlink>
      <w:r>
        <w:rPr>
          <w:rFonts w:ascii="Times New Roman;serif" w:hAnsi="Times New Roman;serif"/>
          <w:b w:val="false"/>
          <w:color w:val="000000"/>
          <w:sz w:val="20"/>
        </w:rPr>
        <w:t>, in Notes to Consolidated Financial Statements for additional information regarding the LNKB Merger.</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Critical Accounting Policies and Estimates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Our accounting and reporting policies conform to accounting principles generally accepted in the United States of America and conform to general practices within the industry in which we operate. To prepare financial statements in conformity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with GAAP, management makes estimates, assumptions, and judgments based on available information. These estimates, assumptions, and judgments affect the amounts reported in the financial statements and accompanying notes and are based on information available as of the date of the financial statements and, as this information changes, actual results could differ from the estimates, assumptions, and judgments reflected in the financial statements. In particular, management has identified several accounting policies that, due to the estimates, assumptions, and judgments inherent in those policies, are critical in understanding our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most significant accounting policies are presented in the notes to the accompanying consolidated financial statements. These policies, along with the other disclosures presented in the financial statement notes and in this financial review, provide information on how significant assets and liabilities are valued in the financial statements and how those values are determined. Based on the valuation techniques used and the sensitivity of financial statement amounts to the methods, assumptions, and estimates underlying those amounts, we have identified business combination and goodwill, the determination of the allowance for credit losses, and income taxes to be the accounting areas that require the most subjective or complex judgments, and as such, could be most subject to revision as new information becomes available.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Business Combination and Goodwill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acquisitions, we are required to record the assets acquired, including identified intangible assets such as core deposit intangibles, and the liabilities assumed at their respective fair values. The difference between consideration and the net fair value of assets acquired is recorded as goodwill. Management uses significant estimates and assumptions to value such items, including projected cash flows, repayment rates, default rates and losses assuming default, discount rates, and realizable collateral values. The allowance for credit losses for PCD and PSL loans is recognized within acquisition accounting. The allowance for credit losses for non-PCD assets is recognized as provision for credit losses in the same reporting period as the acquisition. Fair value adjustments are amortized or accreted into the income statement over the estimated life of the acquired assets or assumed liabilities. The purchase date valuations and any subsequent adjustments determine the amount of goodwill recognized in connection with the acquisition. The use of different assumptions could produce significantly different valuation results, which could have material positive or negative effects on our results of operations. The carrying value of goodwill recorded must be reviewed for impairment on an annual basis, as well as on an interim basis if events or changes indicate that the asset might be impaired. An impairment loss must be recognized for any excess of carrying value over fair value of the goodwill.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determination of fair values is based on valuations using management’s assumptions of future growth rates, future attrition, discount rates, multiples of earnings or other relevant factors. In addition, we engage third party specialists to assist in the development of fair values. Preliminary estimates of fair values may be adjusted for a period of time subsequent to the acquisition date if new information is obtained about facts and circumstances that existed as of the acquisition date that, if known, would have affected the measurement of the amounts recognized as of that date. Adjustments recorded during this period are recognized in the current reporting period. Management uses various valuation methodologies to estimate the fair value of these assets and liabilities, and often involves a significant degree of judgment, particularly when liquid markets do not exist for the particular item being valued. Examples of such items include loans, deposits, identifiable intangible assets, and certain other assets and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Changes in these factors, as well as downturns in economic or business conditions, could have a significant adverse impact on the carrying value of assets, including goodwill and liabilities, which could result in impairment losses affecting our financial statements as a whole and our banking subsidiary in which the goodwill resides.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Allowance for Credit Losses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allowance for credit losses represents our estimate of all expected credit losses for financial assets held for investment at the reporting date based on historical experience, current conditions, and projections including reasonable and supportable, reversion, and post-reversion forecasts. It is a valuation account that is deducted from the financial assets’ amortized cost basis to present the net amount expected to be collected on the financial assets. Financial assets are charged-off against the allowance when management believes the uncollectibility of a financial asset is confirmed. Expected recoveries do not exceed the aggregate of amounts previously charged-off and expected to be charged-off.</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loan portfolio is the largest financial asset that is in scope of this critical accounting estimate. Determining the amount of the allowance for credit losses is considered a critical accounting estimate, because it is based on the evaluation of the size and current risk characteristics of the loan portfolio, past events, current conditions, reasonable and supportable forecasts, and prepayment experience as related to credit contractual terms. Management estimates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allowance balance using relevant available information from internal and external sources. Historical credit loss experience as related to macroeconomic data provides the basis for the estimation of expected credit losses over defined credit contractual terms. Qualitative adjustments to modeled loss rates are made for differences in current portfolio risk characteristics, such as for credit concentrations and for adversely classified or graded credits.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using a third-party developed model that produces an estimate of the allowance for credit losses as the lifetime expected credit losses of the loan portfolio. This model uses a remaining useful life or WARM method within defined contractual terms by federal call codes. The model forecasts charge-off rates by call codes using ordinary least squares (“OLS”) regression models that use macroeconomic variables to forecast the Company’s charge-off rates. These models are used to produce reasonable and supportable forecasts of charge-off rates. The macroeconomic variables utilized by the Company are sourced from third parties and include variables that meet defined criteria in forecasting credit losses for our loan portfolio. These variables include, but are not limited to such items as equity market conditions or interest rates, as well as to portfolio-specific indicators, such as those that pertain to the commercial real estate or to the residential loan portfolios. To review the integrity of the modeled output, Management validates, validates the specific loan and macroeconomic data inputs.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currently has set an initial reasonable and supportable forecast period of two years with a subsequent one-year input reversion period to the historical mean input forecast loss rates in the remaining or post-reversion periods of the modeled contractual terms. Based on management’s analysis, adjustments may be applied for additional factors impacting the risk of loss in the loan portfolio beyond information used to calculate reasonable and supportable forecasts and the subsequent reversion to historical loss information on collectively evaluated loans. As the quantitatively modeled forecasts reflect the use of the macroeconomic variable loss drivers, management may consider that an additional or reduced reserve is warranted through qualitative risk factors based on current and expected conditions, including those that utilize supplemental information relative to the macroeconomic variable loss drivers. Qualitative adjustments considered by management include the following: (i) management’s assessment of macroeconomic forecasts used in the model and how those forecasts align with management’s overall evaluation of current expected credit conditions; (ii) organization specific risks such as credit concentrations, collateral specific risks, nature and size of the portfolio, and external factors that may ultimately impact credit quality; and (iii) underwriting trends. The qualitative factors applied at June 30, 2026, and the importance and levels of the qualitative factors applied, may change in future periods depending on the level of changes to items such as the uncertainty of economic conditions and management’s assessment of the level of credit risk within the loan portfolio as a result of such changes, compared to the amount of ACL calculated by the model exclusive of qualitative factors. Management reviews supplemental data sources including historical charge-off rates and data measuring other specific credit outcomes from its systems of record in supporting qualitative factors. However, qualitative factor evaluations are inherently imprecise and require significant management judgment.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model methodology used for funded credits, along with taking into consideration the probability of drawdowns or funding on unfunded commitments and whether such commitments are irrevocable or not by the Company, is how the Company determines the allowance for credit losses for unfunded commitments. These evaluations are conducted at least quarterly and more frequently, if deemed necessary.</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Company’s income tax expense, deferred tax assets and liabilities, and reserves for unrecognized tax benefits reflect management’s best assessment of estimated taxes due. The calculation of each component of the Company’s income tax provision is complex and requires the use of estimates and judgments in its determination. As part of the Company’s evaluation and implementation of business strategies, consideration is given to the regulations and tax laws that apply to the specific facts and circumstances for any tax position under evaluation. Management closely monitors tax developments on both the federal and state level in order to evaluate the effect they may have on the Company’s overall tax position and the estimates and judgments used in determining the income tax provision and records adjustments, as necessary.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Deferred income taxes arise from temporary differences between the tax and financial statement recognition of revenue and expenses. In evaluating the Company’s ability to recover its deferred tax assets within the jurisdiction from which they arise, the Company must consider all available evidence, including scheduled reversals of deferred tax liabilities, projected future taxable income, tax planning strategies, and the results of recent operations. A valuation allowance is recognized for a deferred tax asset if, based on the available evidence, it is more likely than not that some portion or all of a deferred tax asset will not be realized. See Note 8 — Income Taxes, in Notes to the December 31, 2025, Consolidated Financial Statements of the Company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prepare our financial statements in accordance with U.S. GAAP and also present certain non-GAAP financial measures that exclude certain items or otherwise include components that differ from the most directly comparable measures calculated in accordance with U.S. GAAP. Non-GAAP measures are provided as additional useful information to assess our financial condition and results of operations (including period-to-period operating performance). These non-GAAP measures are not intended as a substitute for GAAP financial measures and may not be defined or calculated the same way as non-GAAP measures with similar names used by other companies. For more information, including the reconciliation of these non-GAAP financial measures to their corresponding GAAP financial measures, see the respective sections where the measures are presented.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Commercial Real Estate Sector Concentration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recent years, commercial real estate (“CRE”) markets have been impacted by economic disruptions, including those resulting from the effects of increases in remote work in urban centers and changes in the characteristics of certain urban centers. CRE loans are generally viewed as having a greater risk of default than other types of loans and depend on cash flows from the owner’s business or the property’s tenants to service the debt. The borrower’s cash flows may be affected significantly by general economic conditions. Adverse conditions in the real estate market or the general business climate and economy or in occupancy rates where the property is located could increase the likelihood of default. In particular, CRE office borrowers in central business districts have been impacted by decreased property valuations, oversupply due to remote work trends, and rising interest rates which has increased default rates and impeded their ability to secure new financing. CRE loans generally have large loan balances, and therefore, the deterioration of one or a few of these loans could cause a significant increase in the percentage of our non-performing loans. An increase in non-performing loans could result in a loss of earnings from these loans, an increase in the provision for loan losses, and an increase in charge-offs, all of which could have a material adverse effect on our financial condition and results of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Bank continues to monitor its commercial real estate portfolio by reviewing various credit risk and concentration reports. The Bank’s exposure to CRE at June 30, 2026, was $3.9 billion, or 48.7%, of its gross loan portfolio, not including owner-occupied commercial real estate and acquisition, construction &amp; development. CRE as a percent of total assets at June 30, 2026, was 35.5%, not including owner-occupied CRE and acquisition, construction &amp; development. Including owner-occupied CRE and acquisition, construction &amp; development, total exposure was at $5.5 billion, or 68.8%, of our total gross loans and 50.1% of total assets at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 balances by portfolio segment amortized cost (in thousands) and by percentage of our total gross loan portfolio at June 30, 2026, were as follows:</w:t>
      </w:r>
    </w:p>
    <w:tbl>
      <w:tblPr>
        <w:tblW w:w="6128" w:type="dxa"/>
        <w:jc w:val="left"/>
        <w:tblInd w:w="0" w:type="dxa"/>
        <w:tblLayout w:type="fixed"/>
        <w:tblCellMar>
          <w:top w:w="28" w:type="dxa"/>
          <w:left w:w="28" w:type="dxa"/>
          <w:bottom w:w="28" w:type="dxa"/>
          <w:right w:w="28" w:type="dxa"/>
        </w:tblCellMar>
      </w:tblPr>
      <w:tblGrid>
        <w:gridCol w:w="1096"/>
        <w:gridCol w:w="966"/>
        <w:gridCol w:w="968"/>
        <w:gridCol w:w="109"/>
        <w:gridCol w:w="109"/>
        <w:gridCol w:w="109"/>
        <w:gridCol w:w="220"/>
        <w:gridCol w:w="978"/>
        <w:gridCol w:w="122"/>
        <w:gridCol w:w="109"/>
        <w:gridCol w:w="109"/>
        <w:gridCol w:w="109"/>
        <w:gridCol w:w="278"/>
        <w:gridCol w:w="278"/>
        <w:gridCol w:w="568"/>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3,898,387 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1,152,749 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452,638 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840,878 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1,605,524 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5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7,999,765 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Monitoring of the CRE concentration is performed at both the loan level and at the portfolio level. The Credit Risk Management team provides management and the Board with periodic reports on the credit portfolio, which include the CRE portfolio (including owner-occupied CRE and acquisition, construction &amp; development loans). These reports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an assessment of asset quality and risk rating migration and monitor concentrations against the Board approved concentration limits (including sub-limits).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tables below present the Bank’s commercial real estate, owner-occupied commercial real estate, and acquisition, construction &amp; development portfolios by collateral type and geographic location as of June 30, 2026 (in thousands). </w:t>
      </w:r>
    </w:p>
    <w:tbl>
      <w:tblPr>
        <w:tblW w:w="12579" w:type="dxa"/>
        <w:jc w:val="left"/>
        <w:tblInd w:w="0" w:type="dxa"/>
        <w:tblLayout w:type="fixed"/>
        <w:tblCellMar>
          <w:top w:w="28" w:type="dxa"/>
          <w:left w:w="28" w:type="dxa"/>
          <w:bottom w:w="28" w:type="dxa"/>
          <w:right w:w="28" w:type="dxa"/>
        </w:tblCellMar>
      </w:tblPr>
      <w:tblGrid>
        <w:gridCol w:w="661"/>
        <w:gridCol w:w="461"/>
        <w:gridCol w:w="16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278"/>
        <w:gridCol w:w="278"/>
        <w:gridCol w:w="559"/>
      </w:tblGrid>
      <w:tr>
        <w:trPr/>
        <w:tc>
          <w:tcPr>
            <w:tcW w:w="6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1"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Commercial Real Estate by Collateral Type and Geographic Location</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410,442 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67,417 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875,196 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Multi-Family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Office Buildings/Condos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98,448 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707,851 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Hotels/Motels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Industrial/Warehouse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Self-Storage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Nursing-Assisted Living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Restaurants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5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Gas Stations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Child Care Facilities and Schools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130,226 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349,993 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5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1,603,689 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293,981 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808,317 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492,061 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287,258 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413,081 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3,898,387 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5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0" w:after="180"/>
        <w:jc w:val="both"/>
        <w:rPr/>
      </w:pPr>
      <w:r>
        <w:rPr/>
      </w:r>
    </w:p>
    <w:tbl>
      <w:tblPr>
        <w:tblW w:w="12042" w:type="dxa"/>
        <w:jc w:val="left"/>
        <w:tblInd w:w="0" w:type="dxa"/>
        <w:tblLayout w:type="fixed"/>
        <w:tblCellMar>
          <w:top w:w="28" w:type="dxa"/>
          <w:left w:w="28" w:type="dxa"/>
          <w:bottom w:w="28" w:type="dxa"/>
          <w:right w:w="28" w:type="dxa"/>
        </w:tblCellMar>
      </w:tblPr>
      <w:tblGrid>
        <w:gridCol w:w="554"/>
        <w:gridCol w:w="263"/>
        <w:gridCol w:w="264"/>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556"/>
        <w:gridCol w:w="109"/>
        <w:gridCol w:w="109"/>
        <w:gridCol w:w="109"/>
        <w:gridCol w:w="109"/>
        <w:gridCol w:w="196"/>
        <w:gridCol w:w="736"/>
        <w:gridCol w:w="109"/>
        <w:gridCol w:w="109"/>
        <w:gridCol w:w="109"/>
        <w:gridCol w:w="109"/>
        <w:gridCol w:w="196"/>
        <w:gridCol w:w="871"/>
        <w:gridCol w:w="109"/>
        <w:gridCol w:w="109"/>
        <w:gridCol w:w="109"/>
        <w:gridCol w:w="109"/>
        <w:gridCol w:w="278"/>
        <w:gridCol w:w="278"/>
        <w:gridCol w:w="547"/>
      </w:tblGrid>
      <w:tr>
        <w:trPr/>
        <w:tc>
          <w:tcPr>
            <w:tcW w:w="5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Owner-Occupied Commercial Real Estate by Collateral Type and Geographic Location</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Office Buildings/Condos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Industrial/Warehouse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Gas Stations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Restaurants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Churches/Religious Organizations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Coal, oil, gas, and natural resource extraction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Private School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453,899 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39.4 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391,604 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123,556 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297,360 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199,268 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138,258 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1,152,749 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0" w:after="180"/>
        <w:jc w:val="both"/>
        <w:rPr/>
      </w:pPr>
      <w:r>
        <w:rPr/>
      </w:r>
    </w:p>
    <w:tbl>
      <w:tblPr>
        <w:tblW w:w="11592" w:type="dxa"/>
        <w:jc w:val="left"/>
        <w:tblInd w:w="0" w:type="dxa"/>
        <w:tblLayout w:type="fixed"/>
        <w:tblCellMar>
          <w:top w:w="28" w:type="dxa"/>
          <w:left w:w="28" w:type="dxa"/>
          <w:bottom w:w="28" w:type="dxa"/>
          <w:right w:w="28" w:type="dxa"/>
        </w:tblCellMar>
      </w:tblPr>
      <w:tblGrid>
        <w:gridCol w:w="375"/>
        <w:gridCol w:w="330"/>
        <w:gridCol w:w="331"/>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278"/>
        <w:gridCol w:w="278"/>
        <w:gridCol w:w="547"/>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9" w:type="dxa"/>
            <w:gridSpan w:val="4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7"/>
              </w:rPr>
            </w:pPr>
            <w:r>
              <w:rPr>
                <w:rFonts w:ascii="Times New Roman;serif" w:hAnsi="Times New Roman;serif"/>
                <w:b/>
                <w:color w:val="000000"/>
                <w:sz w:val="17"/>
              </w:rPr>
              <w:t>Acquisition, Construction &amp; Development by Collateral Type and Geographic Location</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VA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WV</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Percentage</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Multi-Family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Office Buildings/Condos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Self-Storage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 For-Sale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159,659 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37,163 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86,427 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40,941 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31,274 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97,174 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452,638 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100.0 </w:t>
            </w:r>
          </w:p>
        </w:tc>
        <w:tc>
          <w:tcPr>
            <w:tcW w:w="5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before="0" w:after="6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CRE loans are monitored through various processes that include payment monitoring, financial reporting, and covenant compliance monitoring, and annual reviews for larger relationships. Furthermore, construction loans are monitored throughout the life of the project and the construction loan administration function is centralized within the Credit Risk Management team. Monitoring the market conditions is also an important component of prudent CRE risk management. Quarterly construction progress reviews are also completed on all acquisition, construction &amp; development loans. For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loan, management reviews the adequacy of the construction budget, adequacy of the interest reserve, pace of construction, and review of any loan covenants.</w:t>
      </w:r>
    </w:p>
    <w:p>
      <w:pPr>
        <w:pStyle w:val="TextBody"/>
        <w:bidi w:val="0"/>
        <w:spacing w:lineRule="auto" w:line="288" w:before="0" w:after="180"/>
        <w:jc w:val="both"/>
        <w:rPr/>
      </w:pPr>
      <w:r>
        <w:rPr>
          <w:rFonts w:ascii="Times New Roman;serif" w:hAnsi="Times New Roman;serif"/>
          <w:b w:val="false"/>
          <w:color w:val="000000"/>
          <w:sz w:val="20"/>
        </w:rPr>
        <w:t xml:space="preserve">The Bank believes its underwriting and monitoring standards for commercial real estate loans are sufficient to evaluate its loan portfolio and keep it from incurring significant losses. The largest concentration of the Bank’s commercial real estate loans are in Virginia (approximately 39.2%), and the Bank does not have significant exposure to any economic areas of the country that are underperforming the national economy. Additionally, the Bank’s overall exposure to the “Office Building / Condo” collateral type is 16.6% of total commercial real estate loans, including owner-occupied commercial real estate and acquisition, construction &amp; development. The Bank believes that the combined loan portfolio is well-diversified, generally seasoned, manageable, and will outperform the industry in terms of performance through the economic cycle; however, our underwriting, review, and monitoring cannot eliminate all of the risks related to these loans. For further discussion see </w:t>
      </w:r>
      <w:hyperlink w:anchor="ib9c5802e33ec4b258c2b42fcff6434e5_118">
        <w:r>
          <w:rPr>
            <w:rStyle w:val="InternetLink"/>
            <w:rFonts w:ascii="Times New Roman;serif" w:hAnsi="Times New Roman;serif"/>
            <w:b w:val="false"/>
            <w:color w:val="0000FF"/>
            <w:sz w:val="20"/>
            <w:u w:val="single"/>
          </w:rPr>
          <w:t>Part II, Item 1A. “Risk Factors”</w:t>
        </w:r>
      </w:hyperlink>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 Management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Liquidity is the ability of the Company to convert assets into cash or cash equivalents without significant loss and to raise additional funds by increasing liabilities. Liquidity management involves maintaining the Company’s ability to meet the day-to-day cash flow requirements of its customers, whether they are depositors wishing to withdraw funds or borrowers requiring funds to meet their credit needs. Without proper liquidity management, the Company would not be able to perform the primary function of a financial intermediary and would, therefore, not be able to meet the needs of the communities it serves.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assesses the need for liquidity in a variety of scenarios. Those scenarios may include projected growth, credit deterioration, deposit decay, interest rate changes, and a variety of other economic scenarios that can impact the liquidity position of the Company. These analyses are performed on a quarterly basis in conjunction with the Company’s Asset/Liability meetings, and findings are reported to the Asset and Liability Management Committee (the “ALCO”) and to the Board. From time to time, management may change the frequency of such testing or update certain inputs as a result of abnormal market conditions.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Findings, as a result of the Company’s prudent liquidity modeling, may result in the change of certain products offered to customers or adjust the way the Company manages its balance sheet. Such changes could include adjusting interest rates offered on certain deposit products, changes to interest rates charged in lending activities, or the suspension of certain products and activities altogether. Times of significant economic stress may cause the mix of funding to shift and increase the likelihood of changes to certain products in order to manage the Company’s overall liquidity and capital position.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asset portion of the balance sheet provides liquidity primarily through unencumbered securities available-for-sale, loan principal and interest payments, maturities and prepayments of investment securities, and, to a lesser extent, sales of investment securities available-for-sale. Other short-term investments available to the Company that could act as potential sources of liquidity are federal funds sold, securities purchased under agreements to resell, and maturing interest-bearing deposits with other banks.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liability portion of the balance sheet provides liquidity through interest-bearing and non-interest-bearing deposit accounts and through FHLB and other borrowings. Brokered deposits, federal funds purchased, securities sold under agreements to repurchase, and other short-term borrowings are additional sources of liquidity and basically represent the Company’s incremental borrowing capacity. These sources of liquidity are used as necessary to fund asset growth and meet short-term liquidity needs.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Company’s financial performance and condition, liquidity may be impacted by the Company’s structure as a financial holding company that is a separate legal entity from the Bank. The Company requires cash for various operating needs that could include payment of dividends to its shareholders, the servicing of debt, and the payment of general corporate expenses. The primary source of liquidity for the Company is dividends paid by the Bank. Applicable federal and state statutes and regulations impose restrictions on the amount of dividends that may be paid by the Bank. In addition to the formal statutes and regulations, regulatory authorities also consider the adequacy of the Bank’s total capital in relation to its assets, deposits, and other such items. Any future dividends must be set forth in the Company’s capital plans before any dividends can be paid.</w:t>
      </w:r>
    </w:p>
    <w:p>
      <w:pPr>
        <w:pStyle w:val="TextBody"/>
        <w:bidi w:val="0"/>
        <w:spacing w:lineRule="auto" w:line="288" w:before="0" w:after="180"/>
        <w:jc w:val="both"/>
        <w:rPr/>
      </w:pPr>
      <w:r>
        <w:rPr>
          <w:rFonts w:ascii="Times New Roman;serif" w:hAnsi="Times New Roman;serif"/>
          <w:b w:val="false"/>
          <w:color w:val="000000"/>
          <w:sz w:val="20"/>
        </w:rPr>
        <w:t xml:space="preserve">Management believes that the current sources of liquidity are adequate to meet the Company’s requirements and plans for continued growth. See </w:t>
      </w:r>
      <w:hyperlink w:anchor="ib9c5802e33ec4b258c2b42fcff6434e5_49">
        <w:r>
          <w:rPr>
            <w:rStyle w:val="InternetLink"/>
            <w:rFonts w:ascii="Times New Roman;serif" w:hAnsi="Times New Roman;serif"/>
            <w:b w:val="false"/>
            <w:color w:val="0000FF"/>
            <w:sz w:val="20"/>
            <w:u w:val="single"/>
          </w:rPr>
          <w:t>Note 6 - Borrowed Funds</w:t>
        </w:r>
      </w:hyperlink>
      <w:r>
        <w:rPr>
          <w:color w:val="000000"/>
        </w:rPr>
        <w:t xml:space="preserve"> </w:t>
      </w:r>
      <w:r>
        <w:rPr>
          <w:rFonts w:ascii="Times New Roman;serif" w:hAnsi="Times New Roman;serif"/>
          <w:b w:val="false"/>
          <w:color w:val="000000"/>
          <w:sz w:val="20"/>
        </w:rPr>
        <w:t xml:space="preserve">and </w:t>
      </w:r>
      <w:hyperlink w:anchor="ib9c5802e33ec4b258c2b42fcff6434e5_61">
        <w:r>
          <w:rPr>
            <w:rStyle w:val="InternetLink"/>
            <w:rFonts w:ascii="Times New Roman;serif" w:hAnsi="Times New Roman;serif"/>
            <w:b w:val="false"/>
            <w:color w:val="0000FF"/>
            <w:sz w:val="20"/>
            <w:u w:val="single"/>
          </w:rPr>
          <w:t>Note 10 - Commitments and Contingencies</w:t>
        </w:r>
      </w:hyperlink>
      <w:r>
        <w:rPr>
          <w:rFonts w:ascii="Times New Roman;serif" w:hAnsi="Times New Roman;serif"/>
          <w:b w:val="false"/>
          <w:color w:val="000000"/>
          <w:sz w:val="20"/>
        </w:rPr>
        <w:t xml:space="preserve">, in Notes to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Financial Statements for additional information regarding outstanding balances of sources of liquidity and contractual commitments and obligations.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Capital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and the Bank are subject to various regulatory capital requirements administered by the federal banking agencies. Failure to meet minimum capital requirements can initiate certain mandatory and possible additional discretionary actions by regulators that, if undertaken, could have a direct material effect on the Company’s consolidated financial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Applicable capital rules under the Basel III Framework require the Company and the Bank to maintain minimum Common Equity Tier 1 (“CET 1”), Tier 1, and Total Capital ratios, along with a capital conservation buffer, effectively resulting in new minimum capital ratios. The capital conservation buffer is designed to absorb losses during periods of economic stress. Banking institutions with a ratio of CET 1 capital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 The Basel III Framework also provide for a “counter-cyclical capital buffer” that is applicable to only certain covered institutions and does not have any current applicability to the Company or the Bank.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Under capital adequacy guidelines and the regulatory framework for “prompt corrective action,” the Company and the Bank must meet specific capital guidelines that involve quantitative measures of assets, liabilities, and certain off-balance sheet items as calculated under regulatory accounting practices. The capital amounts and classifications are also subject to qualitative judgments by the regulators about components, risk weightings and other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Additionally, federal banking laws require regulatory authorities to take “prompt corrective action” with respect to depository institutions that do not satisfy minimum capital requirements. The extent of these powers depends upon whether the institution in question is “well capitalized,” “adequately capitalized,” “undercapitalized,” “significantly undercapitalized,” or “critically undercapitalized,” as such terms are defined under federal banking agency regulations. Depository institutions that do not meet minimum capital requirements will face constraints on payment of dividends, equity repurchases, and compensation based on the amount of shortfall. A depository institution that is not “well capitalized” is generally prohibited from accepting brokered deposits and offering interest rates on deposits higher than the prevailing rate in its market, may be subject to asset growth limitations, and may be required to submit capital restoration plans.</w:t>
      </w:r>
    </w:p>
    <w:p>
      <w:pPr>
        <w:pStyle w:val="TextBody"/>
        <w:bidi w:val="0"/>
        <w:spacing w:lineRule="auto" w:line="288" w:before="0" w:after="180"/>
        <w:jc w:val="both"/>
        <w:rPr/>
      </w:pPr>
      <w:r>
        <w:rPr>
          <w:rFonts w:ascii="Times New Roman;serif" w:hAnsi="Times New Roman;serif"/>
          <w:b w:val="false"/>
          <w:color w:val="000000"/>
          <w:sz w:val="20"/>
        </w:rPr>
        <w:t xml:space="preserve">As of June 30, 2026, and December 31, 2025, the Bank complied with all regulatory capital standards and qualifies as “well capitalized.” </w:t>
      </w:r>
      <w:hyperlink w:anchor="ib9c5802e33ec4b258c2b42fcff6434e5_55">
        <w:r>
          <w:rPr>
            <w:rStyle w:val="InternetLink"/>
            <w:rFonts w:ascii="Times New Roman;serif" w:hAnsi="Times New Roman;serif"/>
            <w:b w:val="false"/>
            <w:color w:val="0000FF"/>
            <w:sz w:val="20"/>
            <w:u w:val="single"/>
          </w:rPr>
          <w:t>Note 8 - Regulatory Capital Matters</w:t>
        </w:r>
      </w:hyperlink>
      <w:r>
        <w:rPr>
          <w:color w:val="000000"/>
        </w:rPr>
        <w:t xml:space="preserve"> </w:t>
      </w:r>
      <w:r>
        <w:rPr>
          <w:rFonts w:ascii="Times New Roman;serif" w:hAnsi="Times New Roman;serif"/>
          <w:b w:val="false"/>
          <w:color w:val="000000"/>
          <w:sz w:val="20"/>
        </w:rPr>
        <w:t>in Notes to Consolidated Financial Statements contains additional discussion and analysis regarding the Company and the Bank’s regulatory capital requirements.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Effects of Inflation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majority of assets and liabilities of a financial institution are monetary in nature; therefore, a financial institution differs greatly from most commercial and industrial companies, which have significant investments in fixed assets or inventories that are greatly impacted by inflation. However, inflation does have an important impact on the growth of total assets in the banking industry and the resulting need to increase equity capital at higher-than-normal rates in order to maintain an appropriate equity-to-assets ratio. Inflation also affects other expenses that tend to rise during periods of general inflation.</w:t>
      </w:r>
    </w:p>
    <w:p>
      <w:pPr>
        <w:pStyle w:val="TextBody"/>
        <w:bidi w:val="0"/>
        <w:spacing w:lineRule="auto" w:line="288" w:before="0" w:after="180"/>
        <w:jc w:val="both"/>
        <w:rPr/>
      </w:pPr>
      <w:r>
        <w:rPr>
          <w:rFonts w:ascii="Times New Roman;serif" w:hAnsi="Times New Roman;serif"/>
          <w:b w:val="false"/>
          <w:color w:val="000000"/>
          <w:sz w:val="20"/>
        </w:rPr>
        <w:t xml:space="preserve">Management believes the most significant potential impact of inflation on financial results is a direct result of the Company’s ability to manage the impact of changes in interest rates. Management attempts to maintain a balanced position between rate-sensitive assets and liabilities over an economic cycle in order to minimize the impact of interest rate fluctuations on net interest income. However, this goal can be difficult to completely achieve in times of rapidly changing interest </w:t>
      </w:r>
      <w:r>
        <w:rPr>
          <w:rFonts w:ascii="Times New Roman;serif" w:hAnsi="Times New Roman;serif"/>
          <w:b w:val="false"/>
          <w:color w:val="000000"/>
          <w:sz w:val="20"/>
          <w:shd w:fill="FFFFFF" w:val="clear"/>
        </w:rPr>
        <w:t>rates and is one of many factors considered in determining the Company’s interest rate positioning.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Key Factors Affecting Financial Performance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We face a variety of risks that may impact various aspects of our financial performance from time to time. The extent of such impacts may vary depending on factors such as the current business and economic conditions, political and regulatory environment, and operational challenges. Many of these risks and our risk management strategies are described in more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detail elsewhere in this Report as well as with the audited consolidated financial statements and notes for the year ended December 31, 2025, included in our Form 10-K.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success will depend upon, among other things, the following factors that we manage or control:</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Effectively managing capital and liquidity, including:</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Continuing to maintain and, over time, grow our deposit base as a low-cost stable funding source,</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Prudent liquidity and capital management to meet evolving regulatory capital, capital planning, stress testing, and liquidity standards, and</w:t>
      </w:r>
    </w:p>
    <w:p>
      <w:pPr>
        <w:pStyle w:val="TextBody"/>
        <w:bidi w:val="0"/>
        <w:spacing w:lineRule="auto" w:line="288" w:before="0" w:after="180"/>
        <w:ind w:left="0" w:right="0" w:hanging="360"/>
        <w:jc w:val="both"/>
        <w:rPr/>
      </w:pPr>
      <w:r>
        <w:rPr>
          <w:color w:val="000000"/>
          <w:shd w:fill="FFFFFF" w:val="clear"/>
        </w:rPr>
        <w:t>•</w:t>
      </w:r>
      <w:r>
        <w:rPr>
          <w:rFonts w:ascii="Times New Roman;serif" w:hAnsi="Times New Roman;serif"/>
          <w:b w:val="false"/>
          <w:color w:val="000000"/>
          <w:sz w:val="20"/>
          <w:shd w:fill="FFFFFF" w:val="clear"/>
        </w:rPr>
        <w:t>Actions we</w:t>
      </w:r>
      <w:r>
        <w:rPr>
          <w:color w:val="000000"/>
        </w:rPr>
        <w:t xml:space="preserve"> </w:t>
      </w:r>
      <w:r>
        <w:rPr>
          <w:rFonts w:ascii="Times New Roman;serif" w:hAnsi="Times New Roman;serif"/>
          <w:b w:val="false"/>
          <w:color w:val="000000"/>
          <w:sz w:val="20"/>
        </w:rPr>
        <w:t>take within the capital and other financial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 xml:space="preserve">Our ability to manage any material costs related to the execution of our strategic priorities, including increased employees, infrastructure, compliance, and other costs in a profitable manner over the long term, </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Management of credit risk and interest rate risk in our portfolio,</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continue to attract customers and compete with other banks and financial services providers in our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manage and implement strategic business objectives within the changing regulatory environment,</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legal and regulatory-related contingencies,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appropriateness of critical accounting estimates and related contingencies,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ability to manage operational risks related to new products and services, changes in processes and procedures, or the implementation of new technology,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to make investments to promote compliance with existing and evolving regulatory requirements that will increase as the Company grows and will result in increased administrative expenses that we did not previously incur, which costs may materially increase our general and administrative expenses,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Our success realizing the expected benefits of the LNKB Merger and integrating the operations and customers of LNKB, and continuing to efficiently satisfy the obligations associated with being a public company, all of which will require significant resources and management attention and may divert management’s attention from our business operations.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financial performance is also substantially affected by a number of external factors outside of our control, including the following:</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Economic conditions, and volatility in markets, including the effects of pandemics, wars, political conflicts, political instability and uncertainty both in the U.S. and abroad, government spending policies, trade policies, including tariffs and tariff counter-measures, and other barriers to trade (including the threat of such actions), the availability of labor, supply chain volatility, and any actions taken to mitigate and manage such impacts;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actions or inactions (including assumptions about potential actions or inactions) by the Federal Reserve, U.S. Treasury, and other government agencies, including those that impact money supply and market interest rates and inflation;</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level of, and direction, timing, and magnitude of movement in interest rates and the shape of the interest rate yield curve;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functioning and other performance of and availability of liquidity in U.S. and global financial markets, including capital markets;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Changes in the competitive landscape;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Impacts of changes in federal, state, and local governmental policy, including on the regulatory landscape, capital markets, employment and unemployment levels in our markets, taxes, infrastructure spending, and social programs;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effect of climate change on our business and performance, including indirectly through impacts on our customers;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of market credit spreads on asset valuations;</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ability of customers, counterparties, and issuers to perform in accordance with contractual terms and the resulting impact on our asset quality;</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Loan demand, utilization of credit commitments, and standby letters of credit; and</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0"/>
        </w:rPr>
        <w:t>The impact on customers and changes in customer behavior due to changing business and economic conditions or regulatory or legislative initiatives.</w:t>
      </w:r>
    </w:p>
    <w:p>
      <w:pPr>
        <w:pStyle w:val="TextBody"/>
        <w:bidi w:val="0"/>
        <w:spacing w:lineRule="auto" w:line="288" w:before="0" w:after="180"/>
        <w:jc w:val="both"/>
        <w:rPr/>
      </w:pPr>
      <w:r>
        <w:rPr>
          <w:rFonts w:ascii="Times New Roman;serif" w:hAnsi="Times New Roman;serif"/>
          <w:b w:val="false"/>
          <w:color w:val="000000"/>
          <w:sz w:val="20"/>
        </w:rPr>
        <w:t xml:space="preserve">Risks related to these items, where material to the Company’s business, are discussed in the applicable sections of this Management’s Discussion and Analysis of Financial Condition and Results of Operation. For additional information on the risks we face, see </w:t>
      </w:r>
      <w:hyperlink w:anchor="ib9c5802e33ec4b258c2b42fcff6434e5_118">
        <w:r>
          <w:rPr>
            <w:rStyle w:val="InternetLink"/>
            <w:rFonts w:ascii="Times New Roman;serif" w:hAnsi="Times New Roman;serif"/>
            <w:b w:val="false"/>
            <w:color w:val="0000FF"/>
            <w:sz w:val="20"/>
            <w:u w:val="single"/>
          </w:rPr>
          <w:t>Part II, Item 1A. - Risk Factors</w:t>
        </w:r>
      </w:hyperlink>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Supervision and Regulation Update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As a result of the LNKB Merger, as of May 1, 2026, we have total consolidated assets of $11.0 billion, compared to $7.9 billion as of December 31, 2025. The increase in the size of our assets will lead to additional scrutiny from governmental authorities. Banks with $10 billion or more in total assets are, among other things: examined directly by the Consumer Financial Protection Bureau (the “CFPB”) with respect to various federal consumer financial laws; subject to reduced dividends on any holdings of Federal Reserve Bank of Richmond common stock; subject to limits on interchange fees pursuant to Section 920 of the Electronic Funds Transfer Act (known as the Durbin Amendment); no longer treated as a “small institution” for FDIC deposit insurance assessment purposes; and no longer eligible to elect to be subject to the Community Bank Leverage Ratio. Compliance with these additional ongoing requirements may necessitate additional personnel, the design and implementation of additional internal controls, and the incurrence of significant expenses, which could have a significant adverse effect on the Company’s financial condition or results of operations.</w:t>
      </w:r>
    </w:p>
    <w:p>
      <w:pPr>
        <w:pStyle w:val="TextBody"/>
        <w:bidi w:val="0"/>
        <w:spacing w:lineRule="auto" w:line="288" w:before="0" w:after="180"/>
        <w:jc w:val="both"/>
        <w:rPr/>
      </w:pPr>
      <w:r>
        <w:rPr>
          <w:rFonts w:ascii="Times New Roman;serif" w:hAnsi="Times New Roman;serif"/>
          <w:b w:val="false"/>
          <w:i/>
          <w:color w:val="000000"/>
          <w:sz w:val="20"/>
        </w:rPr>
        <w:t>The Durbin Amendment.</w:t>
      </w:r>
      <w:r>
        <w:rPr>
          <w:color w:val="000000"/>
        </w:rPr>
        <w:t xml:space="preserve"> </w:t>
      </w:r>
      <w:r>
        <w:rPr>
          <w:rFonts w:ascii="Times New Roman;serif" w:hAnsi="Times New Roman;serif"/>
          <w:b w:val="false"/>
          <w:color w:val="000000"/>
          <w:sz w:val="20"/>
        </w:rPr>
        <w:t>The Federal Reserve's regulations implementing the Durbin Amendment cap the maximum permissible interchange fee for covered issuers at $0.21 per transaction plus 5 basis points multiplied by the value of the transaction, with an additional $0.01 per transaction for issuers that implement policies and procedures reasonably designed to achieve certain fraud-prevention standards. Prior to crossing the $10 billion threshold, the Bank was exempt from these interchange fee limitations. Beginning July 1, 2027, the Bank will become subject to the Durbin Amendment's interchange fee limitations, which will reduce the interchange income we receive on debit card transactions. While we are still evaluating the full impact, we expect the Durbin Amendment to result in a meaningful reduction in our debit card interchange revenue. We are exploring strategies to mitigate this impact, including reviewing our deposit product pricing and fee structures.</w:t>
      </w:r>
    </w:p>
    <w:p>
      <w:pPr>
        <w:pStyle w:val="TextBody"/>
        <w:bidi w:val="0"/>
        <w:spacing w:lineRule="auto" w:line="288" w:before="0" w:after="0"/>
        <w:jc w:val="both"/>
        <w:rPr/>
      </w:pPr>
      <w:r>
        <w:rPr>
          <w:rFonts w:ascii="Times New Roman;serif" w:hAnsi="Times New Roman;serif"/>
          <w:b w:val="false"/>
          <w:i/>
          <w:color w:val="000000"/>
          <w:sz w:val="20"/>
        </w:rPr>
        <w:t>CFPB Supervision.</w:t>
      </w:r>
      <w:r>
        <w:rPr>
          <w:color w:val="000000"/>
        </w:rPr>
        <w:t xml:space="preserve"> </w:t>
      </w:r>
      <w:r>
        <w:rPr>
          <w:rFonts w:ascii="Times New Roman;serif" w:hAnsi="Times New Roman;serif"/>
          <w:b w:val="false"/>
          <w:color w:val="000000"/>
          <w:sz w:val="20"/>
        </w:rPr>
        <w:t>Under the Dodd-Frank Wall Street Reform and Consumer Protection Act (the “Dodd-Frank Act”), the CFPB has examination and primary enforcement authority over insured depository institutions with more than $10 billion in assets for compliance with federal consumer financial laws. As a result of crossing this threshold, the Bank is now subject to CFPB supervision, which includes periodic examinations by the CFPB. The CFPB has broad rulemaking authority over consumer financial products and services. CFPB supervision may result in increased compliance costs, require changes to certain of our business practices, and subject us to potential enforcement actions or penalties if we are found to be in violation of federal consumer financial laws.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FDIC Insurance.</w:t>
      </w:r>
      <w:r>
        <w:rPr>
          <w:color w:val="000000"/>
        </w:rPr>
        <w:t xml:space="preserve"> </w:t>
      </w:r>
      <w:r>
        <w:rPr>
          <w:rFonts w:ascii="Times New Roman;serif" w:hAnsi="Times New Roman;serif"/>
          <w:b w:val="false"/>
          <w:color w:val="000000"/>
          <w:sz w:val="20"/>
        </w:rPr>
        <w:t xml:space="preserve">For institutions with greater than $10 billion in assets, deposit insurance pricing is based on a supervisory rating system designed to take into account and reflect all financial and operational risks that a bank may face, including capital adequacy, asset quality, management capability, earnings, liquidity, and sensitivity to market risk (“CAMELS”), in addition to financial measures used to estimate an institution’s ability to withstand asset-related and funding-related stress, and a measure of loss severity that estimates the relative magnitude of potential losses to the FDIC in the event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institution’s failure. Banks with $10 billion or more in total assets may be subject to assessments or increases in premiums from time to time if the FDIC needs to replenish the Deposit Insurance Fund to required levels.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effects and risks associated with crossing the $10 billion asset threshold, see Supervision and Regulation and Risk Factors in our Form 10-K for the year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Selected Financial Data</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contains selected historical consolidated financial data as of the dates and for the periods shown. The selected balance sheet data as of June 30, 2026, and June 30, 2025, and the selected income statement data for the three and six months ended June 30, 2026, and June 30, 2025, have been derived from our consolidated financial statements included elsewhere in this Form 10-Q and in other filings we have submitted with the SEC and should be read in conjunction with the other information contained in this Form 10-Q.</w:t>
      </w:r>
    </w:p>
    <w:tbl>
      <w:tblPr>
        <w:tblW w:w="10205" w:type="dxa"/>
        <w:jc w:val="left"/>
        <w:tblInd w:w="0" w:type="dxa"/>
        <w:tblLayout w:type="fixed"/>
        <w:tblCellMar>
          <w:top w:w="28" w:type="dxa"/>
          <w:left w:w="28" w:type="dxa"/>
          <w:bottom w:w="28" w:type="dxa"/>
          <w:right w:w="28" w:type="dxa"/>
        </w:tblCellMar>
      </w:tblPr>
      <w:tblGrid>
        <w:gridCol w:w="1043"/>
        <w:gridCol w:w="889"/>
        <w:gridCol w:w="893"/>
        <w:gridCol w:w="128"/>
        <w:gridCol w:w="128"/>
        <w:gridCol w:w="128"/>
        <w:gridCol w:w="249"/>
        <w:gridCol w:w="898"/>
        <w:gridCol w:w="312"/>
        <w:gridCol w:w="132"/>
        <w:gridCol w:w="132"/>
        <w:gridCol w:w="132"/>
        <w:gridCol w:w="249"/>
        <w:gridCol w:w="898"/>
        <w:gridCol w:w="312"/>
        <w:gridCol w:w="109"/>
        <w:gridCol w:w="109"/>
        <w:gridCol w:w="109"/>
        <w:gridCol w:w="210"/>
        <w:gridCol w:w="1035"/>
        <w:gridCol w:w="275"/>
        <w:gridCol w:w="117"/>
        <w:gridCol w:w="117"/>
        <w:gridCol w:w="117"/>
        <w:gridCol w:w="210"/>
        <w:gridCol w:w="938"/>
        <w:gridCol w:w="336"/>
      </w:tblGrid>
      <w:tr>
        <w:trPr/>
        <w:tc>
          <w:tcPr>
            <w:tcW w:w="104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Period Ended June 30,</w:t>
            </w:r>
          </w:p>
        </w:tc>
      </w:tr>
      <w:tr>
        <w:trPr/>
        <w:tc>
          <w:tcPr>
            <w:tcW w:w="6523"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thousands, except ratios, share and per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523"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Selected Financial Condition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10,991,300 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8,053,084 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167,153 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325,146 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securities,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1,963,038 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1,522,611 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7,905,295 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5,523,201 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Company-owned life 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269,046 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182,181 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Premises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150,698 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133,997 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8,968,082 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6,390,974 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1,202,179 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780,018 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3"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1,191,766 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769,605 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As of or 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As of or for the Six Months Ended June 30,</w:t>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Selected Operating Data:</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136,987 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111,858 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242,443 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222,644 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75,424 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93,042 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164,885 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147,220 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1,379 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income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13,849 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non-interest expenses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93,506 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144,887 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98,969 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12,006 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37,181 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7,284 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dividends</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applicable to common shares</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29,672 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36,381 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56,648 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Data:</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Average shares of common stock outstanding, basic</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18,416,204 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14,998,857 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16,736,101 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14,987,732 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Average shares of common stock outstanding, diluted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18,499,030 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15,023,807 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16,842,735 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15,021,229 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shares of common stock outstanding</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20,165,171 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15,007,712 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20,165,171 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15,007,712 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income per common share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income per common share</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per common share</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Common stock dividend payout ratio </w:t>
            </w:r>
            <w:r>
              <w:rPr>
                <w:rFonts w:ascii="Times New Roman;serif" w:hAnsi="Times New Roman;serif"/>
                <w:b w:val="false"/>
                <w:color w:val="000000"/>
                <w:sz w:val="12"/>
              </w:rPr>
              <w:t>(1)</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110.00 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50.93 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Book value per common share (at period end)</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47"/>
        <w:gridCol w:w="1120"/>
        <w:gridCol w:w="1123"/>
        <w:gridCol w:w="109"/>
        <w:gridCol w:w="109"/>
        <w:gridCol w:w="109"/>
        <w:gridCol w:w="312"/>
        <w:gridCol w:w="286"/>
        <w:gridCol w:w="557"/>
        <w:gridCol w:w="236"/>
        <w:gridCol w:w="236"/>
        <w:gridCol w:w="236"/>
        <w:gridCol w:w="312"/>
        <w:gridCol w:w="286"/>
        <w:gridCol w:w="557"/>
        <w:gridCol w:w="109"/>
        <w:gridCol w:w="109"/>
        <w:gridCol w:w="109"/>
        <w:gridCol w:w="288"/>
        <w:gridCol w:w="280"/>
        <w:gridCol w:w="521"/>
        <w:gridCol w:w="221"/>
        <w:gridCol w:w="221"/>
        <w:gridCol w:w="221"/>
        <w:gridCol w:w="288"/>
        <w:gridCol w:w="280"/>
        <w:gridCol w:w="623"/>
      </w:tblGrid>
      <w:tr>
        <w:trPr/>
        <w:tc>
          <w:tcPr>
            <w:tcW w:w="134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8"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or 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or for the Six Months Ended June 30,</w:t>
            </w:r>
          </w:p>
        </w:tc>
      </w:tr>
      <w:tr>
        <w:trPr/>
        <w:tc>
          <w:tcPr>
            <w:tcW w:w="3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Performance Ratios: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average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Return on average common equity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rate spread </w:t>
            </w:r>
            <w:r>
              <w:rPr>
                <w:rFonts w:ascii="Times New Roman;serif" w:hAnsi="Times New Roman;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interest margin </w:t>
            </w:r>
            <w:r>
              <w:rPr>
                <w:rFonts w:ascii="Times New Roman;serif" w:hAnsi="Times New Roman;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Efficiency ratio </w:t>
            </w:r>
            <w:r>
              <w:rPr>
                <w:rFonts w:ascii="Times New Roman;serif" w:hAnsi="Times New Roman;serif"/>
                <w:b w:val="false"/>
                <w:color w:val="000000"/>
                <w:sz w:val="12"/>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87.48 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58.18 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Capital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tier 1 (CET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risk-based capital to risk-weighted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14.43 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Tier 1 capital to risk-weighted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Tier 1 capital to average assets (leverage ratio)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 Quality Ratios: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coverage ratio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credit losses as a percentage of non-performing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99.12 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99.12 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charge-offs to average outstanding loans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 as a percentage of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6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assets as a percentage of 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0.89 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6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full-service branches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r>
      <w:tr>
        <w:trPr/>
        <w:tc>
          <w:tcPr>
            <w:tcW w:w="3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full-time equivalent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r>
    </w:tbl>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(1) The dividend payout ratio represents per share dividends declared divided by diluted earnings per share.</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(2) Return on average common equity computed using total average common equity at period-end.</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(3) The interest rate spread represents the difference between the fully taxable-equivalent weighted-average yield on interest-earning assets and the weighted-average cost of interest-bearing liabilities for the period.</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(4) The net interest margin represents fully taxable-equivalent net interest income as a percent of average interest-earning assets for the period.</w:t>
      </w:r>
    </w:p>
    <w:p>
      <w:pPr>
        <w:pStyle w:val="TextBody"/>
        <w:bidi w:val="0"/>
        <w:spacing w:lineRule="auto" w:line="288" w:before="0" w:after="120"/>
        <w:jc w:val="both"/>
        <w:rPr>
          <w:rFonts w:ascii="Times New Roman;serif" w:hAnsi="Times New Roman;serif"/>
          <w:b w:val="false"/>
          <w:color w:val="000000"/>
          <w:sz w:val="16"/>
        </w:rPr>
      </w:pPr>
      <w:r>
        <w:rPr>
          <w:rFonts w:ascii="Times New Roman;serif" w:hAnsi="Times New Roman;serif"/>
          <w:b w:val="false"/>
          <w:color w:val="000000"/>
          <w:sz w:val="16"/>
        </w:rPr>
        <w:t>(5) The efficiency ratio represents non-interest expense as a percentage of the sum of net interest income and non-interest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before="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 for the Six Months Ended June 30, 2026, and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income applicable to common shares for the six months ended June 30, 2026, was $36.4 million, compared to net income applicable to common shares of $56.6 million during the six months ended June 30, 2025. The $20.3 million decrease in net income applicable to common shares was primarily the result of an increase in merger-related expenses for the 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interest income increased by $17.7 million to $164.9 million for the six months ended June 30, 2026, compared to $147.2 million for the six months ended June 30, 2025. The main driver for this increase was the impact of the LNKB Merger which resulted in an increase in the balance of interest-earning assets, in excess of the increase in interest-bearing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the Company recorded credit provision expense of $1.4 million compared to a provision of $1.1 million, which was a small increase compared to the six months ended June 30, 2025. For the six months ended June 30, 2026, the provision for off-balance sheet credit exposures was $2.0 million, compared to a recovery of $492.0 thousand, for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Non-interest income increased by $3.8 million, or 16.6%, to $26.7 million for the six months ended June 30, 2026, compared to $22.9 million for the six months ended June 30, 2025. All categories of non-interest income increased except service charges and fees and net (losses) gains on securities for the six months ended June 30, 2026, compared to the six months ended June 30, 2025. The increases in income from fiduciary and wealth management income was driven by the acquisition of Burke &amp; Herbert Wealth Services, LLC, while increases in company-owned life insurance, bank debit and other card revenue and other non-interest income were driven by the LNKB Merger, for the 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Non-interest expense increased by $45.9 million, or 46.4%, to $144.9 million for the six months ended June 30, 2026, compared to $99.0 million for the six months ended June 30, 2025. The increase was primarily due to the effect of the LNKB Merger and included higher legal, consulting, audit, investment banking, software contract terminations, and change-in-control salary and benefit payments for the six months ended June 30, 2026, compared to the six months ended June 30,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Net Interest Income and Net Interest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interest income totaled $164.9 million for the six months ended June 30, 2026, compared to $147.2 million for the six months ended June 30, 2025. The increase in net interest income was primarily driven by the LNKB Merger and results reflecting higher average balances of interest-earning assets in excess of the higher average balances of interest-bearing liabilities. Accretion income associated with acquired loans totaled $16.1 million for the six months ended June 30, 2026, compared to $23.0 million for the six months ended June 30, 2025. Amortization expense associated with fair value marks for time deposits, subordinated debt, and trust preferred securities totaled $2.9 million for the six months ended June 30, 2026, compared to $3.6 million for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tax-adjusted net interest margin was 4.12% for the six months ended June 30, 2026, compared to 4.17% for the six months ended June 30, 2025. The decrease in tax-adjusted net interest margin was primarily driven by lower accretion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and the acquisition of lower yielding loans from the LNKB Merger which led to lower rates on interest-earning assets.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yield for the taxable loan portfolio was 6.58% for the six months ended June 30, 2026, compared to 6.93% for the six months ended June 30, 2025. The decrease was primarily the result of an increase in the balance of lower yielding loans due to the LNKB Merger, as well as lower accretion income for the six months ended June 30, 2026 compared to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tax-adjusted yield on the total investment securities portfolio was 4.23% for the six months ended June 30, 2026, compared to 3.90% for the six months ended June 30, 2025. The increase was mainly due to higher yields through reinvestment in our securities portfolio as well as an increase in balances due to the LNKB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rate on interest-bearing deposits decreased to 2.21% during the six months ended June 30, 2026, from 2.47% during the six months ended June 30, 2025. The decrease was primarily due to the LNKB Merger which resulted in an increase in lower rate deposits and decreases in interest rates across the different categories of deposit liabilities as well as decreases in market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rate on our short-term borrowings for the six months ended June 30, 2026, was 3.70%, compared to 3.90% for the six months ended June 30, 2025. The decrease was due to decreases in the Federal Funds Rate and other short-term market rates and the addition of derivative swaps that decreased our cost of borrowing. The rate on our subordinated debt was 9.68% for the six months ended June 30, 2026, compared to 9.73% for the six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major components of net interest income and the related yields and rates for the six months ended June 30, 2026, and June 30, 2025, for comparison (dollars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35"/>
        <w:gridCol w:w="495"/>
        <w:gridCol w:w="301"/>
        <w:gridCol w:w="213"/>
        <w:gridCol w:w="949"/>
        <w:gridCol w:w="118"/>
        <w:gridCol w:w="109"/>
        <w:gridCol w:w="109"/>
        <w:gridCol w:w="109"/>
        <w:gridCol w:w="211"/>
        <w:gridCol w:w="795"/>
        <w:gridCol w:w="117"/>
        <w:gridCol w:w="109"/>
        <w:gridCol w:w="109"/>
        <w:gridCol w:w="109"/>
        <w:gridCol w:w="304"/>
        <w:gridCol w:w="187"/>
        <w:gridCol w:w="442"/>
        <w:gridCol w:w="109"/>
        <w:gridCol w:w="109"/>
        <w:gridCol w:w="109"/>
        <w:gridCol w:w="213"/>
        <w:gridCol w:w="949"/>
        <w:gridCol w:w="118"/>
        <w:gridCol w:w="109"/>
        <w:gridCol w:w="109"/>
        <w:gridCol w:w="109"/>
        <w:gridCol w:w="211"/>
        <w:gridCol w:w="795"/>
        <w:gridCol w:w="117"/>
        <w:gridCol w:w="109"/>
        <w:gridCol w:w="109"/>
        <w:gridCol w:w="109"/>
        <w:gridCol w:w="307"/>
        <w:gridCol w:w="181"/>
        <w:gridCol w:w="512"/>
      </w:tblGrid>
      <w:tr>
        <w:trPr/>
        <w:tc>
          <w:tcPr>
            <w:tcW w:w="10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Six Months Ended June 30,</w:t>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Outstanding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 Yield /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Outstanding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 Yield / Rate</w:t>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Loans, gross </w:t>
            </w:r>
            <w:r>
              <w:rPr>
                <w:rFonts w:ascii="Times New Roman;serif" w:hAnsi="Times New Roman;serif"/>
                <w:b w:val="false"/>
                <w:color w:val="000000"/>
                <w:sz w:val="12"/>
              </w:rPr>
              <w:t>(1)(2)</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6,273,708 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204,853 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5,639,518 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Tax-exempt loans </w:t>
            </w:r>
            <w:r>
              <w:rPr>
                <w:rFonts w:ascii="Times New Roman;serif" w:hAnsi="Times New Roman;serif"/>
                <w:b w:val="false"/>
                <w:color w:val="000000"/>
                <w:sz w:val="12"/>
              </w:rPr>
              <w:t>(1)(2)</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6,277,412 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204,973 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5,643,414 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193,947 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deposits and fed funds sold</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61,175 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Taxable AFS securities and other securities </w:t>
            </w:r>
            <w:r>
              <w:rPr>
                <w:rFonts w:ascii="Times New Roman;serif" w:hAnsi="Times New Roman;serif"/>
                <w:b w:val="false"/>
                <w:color w:val="000000"/>
                <w:sz w:val="12"/>
              </w:rPr>
              <w:t>(3)</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1,133,024 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1,049,405 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Tax-exempt AFS securities </w:t>
            </w:r>
            <w:r>
              <w:rPr>
                <w:rFonts w:ascii="Times New Roman;serif" w:hAnsi="Times New Roman;serif"/>
                <w:b w:val="false"/>
                <w:color w:val="000000"/>
                <w:sz w:val="12"/>
              </w:rPr>
              <w:t>(3)(4)</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763,889 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454,792 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securities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1,896,913 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1,504,197 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29,108 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8,244,266 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246,106 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7,208,786 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Non-interest-earning assets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722,622 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606,857 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8,966,888 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7,815,643 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1,568,762 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1,362,148 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demand</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2,497,731 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2,227,735 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5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Money market &amp; savings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1,891,909 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1,640,864 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Brokered CDs &amp; time deposits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1,233,904 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1,213,305 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5,623,544 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5,081,904 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62,282 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7,192,306 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61,738 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6,444,052 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62,282 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Short-term borrowings and other</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575,628 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397,346 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Subordinated debt borrowings</w:t>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9.73 </w:t>
            </w:r>
          </w:p>
        </w:tc>
        <w:tc>
          <w:tcPr>
            <w:tcW w:w="51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6,308,737 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5,592,352 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liabilities</w:t>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121,057 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101,798 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968,332 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759,345 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8,966,888 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7,815,643 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Taxable-equivalent net interest income /net interest spread </w:t>
            </w:r>
            <w:r>
              <w:rPr>
                <w:rFonts w:ascii="Times New Roman;serif" w:hAnsi="Times New Roman;serif"/>
                <w:b w:val="false"/>
                <w:color w:val="000000"/>
                <w:sz w:val="12"/>
              </w:rPr>
              <w:t>(5)</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Taxable-equivalent net interest margin </w:t>
            </w:r>
            <w:r>
              <w:rPr>
                <w:rFonts w:ascii="Times New Roman;serif" w:hAnsi="Times New Roman;serif"/>
                <w:b w:val="false"/>
                <w:color w:val="000000"/>
                <w:sz w:val="12"/>
              </w:rPr>
              <w:t>(6)</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Taxable-equivalent net adjustment</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164,885 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147,220 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interest-earning assets</w:t>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1,935,529 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1,616,434 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(1)Non-accrual loans are included in average loan balances.</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(2)Loan fees are included in the calculation of interest income.</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(3)Calculated based on fair value of investment securities.</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(4)Yields and interest income on tax-exempt assets are computed on a taxable-equivalent basis assuming a 21% tax rate.</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interest rate spread represents the difference between the fully taxable-equivalent weighted-average yield on interest-earning assets and the weighted-average rate of interest-bearing liabilities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(6)The net interest margin represents FTE net interest income as a percent of average interest-earning assets for the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Taxable-equivalent net interest margin, as presented above, is calculated by dividing FTE net interest income by total average earning assets. Net interest income, on an FTE basis, is a non-GAAP financial measure that the Company believes provides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pStyle w:val="TextBody"/>
        <w:bidi w:val="0"/>
        <w:spacing w:before="0" w:after="0"/>
        <w:jc w:val="left"/>
        <w:rPr/>
      </w:pPr>
      <w:r>
        <w:rPr/>
      </w:r>
    </w:p>
    <w:tbl>
      <w:tblPr>
        <w:tblW w:w="7417" w:type="dxa"/>
        <w:jc w:val="left"/>
        <w:tblInd w:w="0" w:type="dxa"/>
        <w:tblLayout w:type="fixed"/>
        <w:tblCellMar>
          <w:top w:w="28" w:type="dxa"/>
          <w:left w:w="28" w:type="dxa"/>
          <w:bottom w:w="28" w:type="dxa"/>
          <w:right w:w="28" w:type="dxa"/>
        </w:tblCellMar>
      </w:tblPr>
      <w:tblGrid>
        <w:gridCol w:w="1597"/>
        <w:gridCol w:w="1404"/>
        <w:gridCol w:w="1408"/>
        <w:gridCol w:w="109"/>
        <w:gridCol w:w="109"/>
        <w:gridCol w:w="109"/>
        <w:gridCol w:w="217"/>
        <w:gridCol w:w="817"/>
        <w:gridCol w:w="121"/>
        <w:gridCol w:w="109"/>
        <w:gridCol w:w="109"/>
        <w:gridCol w:w="109"/>
        <w:gridCol w:w="216"/>
        <w:gridCol w:w="813"/>
        <w:gridCol w:w="170"/>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Financial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204,853 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193,834 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Tax-exempt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Taxable AFS securities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Tax-exempt AFS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Other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242,443 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222,644 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62,282 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Borrowed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Subordinated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77,558 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75,424 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147,220 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Tax benefit on tax-exempt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tax benefit on tax-exempt interest income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Tax-equivalent 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168,548 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149,159 </w:t>
            </w:r>
          </w:p>
        </w:tc>
        <w:tc>
          <w:tcPr>
            <w:tcW w:w="1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(1)Tax benefit was calculated using the federal statutory tax rate of 21%.</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Yield/Rate and Volume Analysis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six months ended June 30, 2026, and June 30, 2025, are annualized using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tbl>
      <w:tblPr>
        <w:tblW w:w="8017" w:type="dxa"/>
        <w:jc w:val="left"/>
        <w:tblInd w:w="0" w:type="dxa"/>
        <w:tblLayout w:type="fixed"/>
        <w:tblCellMar>
          <w:top w:w="28" w:type="dxa"/>
          <w:left w:w="28" w:type="dxa"/>
          <w:bottom w:w="28" w:type="dxa"/>
          <w:right w:w="28" w:type="dxa"/>
        </w:tblCellMar>
      </w:tblPr>
      <w:tblGrid>
        <w:gridCol w:w="1337"/>
        <w:gridCol w:w="1173"/>
        <w:gridCol w:w="1180"/>
        <w:gridCol w:w="284"/>
        <w:gridCol w:w="939"/>
        <w:gridCol w:w="157"/>
        <w:gridCol w:w="119"/>
        <w:gridCol w:w="119"/>
        <w:gridCol w:w="119"/>
        <w:gridCol w:w="217"/>
        <w:gridCol w:w="802"/>
        <w:gridCol w:w="120"/>
        <w:gridCol w:w="119"/>
        <w:gridCol w:w="119"/>
        <w:gridCol w:w="119"/>
        <w:gridCol w:w="215"/>
        <w:gridCol w:w="710"/>
        <w:gridCol w:w="169"/>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 2026 vs June 30,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Due to Change in:</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Volume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Rate</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Net Change</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the interest-earning assets: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Loans</w:t>
            </w:r>
            <w:r>
              <w:rPr>
                <w:rFonts w:ascii="Times New Roman;serif" w:hAnsi="Times New Roman;serif"/>
                <w:b w:val="false"/>
                <w:color w:val="000000"/>
                <w:sz w:val="12"/>
              </w:rPr>
              <w:t>(1)</w:t>
            </w:r>
            <w:r>
              <w:rPr>
                <w:rFonts w:ascii="Times New Roman;serif" w:hAnsi="Times New Roman;serif"/>
                <w:b w:val="false"/>
                <w:color w:val="000000"/>
                <w:sz w:val="18"/>
              </w:rPr>
              <w:t>, gross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21,921 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AFS Securities and other securities (1)</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10,718 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bearing deposits and fed funds sold</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 on interest-earning assets</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29,754 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from the interest-bearing liabilities:</w:t>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demand deposits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&amp; savings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CDs &amp; time deposits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(2,168)</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on interest-bearing deposits</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2,878 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debt and other</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borrowings</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on interest-bearing liabilities</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Taxable-equivalent net interest income</w:t>
            </w:r>
            <w:r>
              <w:rPr>
                <w:color w:val="000000"/>
              </w:rPr>
              <w:t xml:space="preserve"> </w:t>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20,771 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19,389 </w:t>
            </w:r>
          </w:p>
        </w:tc>
        <w:tc>
          <w:tcPr>
            <w:tcW w:w="1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(1)Yields and interest income on tax-exempt loans and securities have been computed on a taxable-equivalent basis.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interest income was $242.4 million for the six months ended June 30, 2026, compared to $222.6 million for the six months ended June 30, 2025, an increase of 8.9%. The increase in interest income was primarily due to the LNKB Merger and an increase in the balance of interest-earning assets, partially offset by a decrease in accretion income, when compared to the six months ended June 30, 2025. Interest income on loans increased by $11.0 million and interest income on securities increased $8.8 million, for the six months ended June 30, 2026, compared to the six months ended June 30, 2025, primarily due to a higher volume of interest earning assets and higher reinvestment rates in our securities portfolio. Accretion income associated with acquired loans totaled $16.1 million for the six months ended June 30, 2026, compared to $23.0 million for the six months ended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interest expense was $77.6 million for the six months ended June 30, 2026, compared to $75.4 million for the six months ended June 30, 2025. The increase in interest expense was due to results that reflect an increase in interest-bearing liabilities due to the LNKB Merger, partially offset by lower rates on interest-bearing liabilities. Interest expense on interest-bearing deposits decreased by $544.0 thousand for the six months ended June 30, 2026, compared to the six months ended June 30, 2025. Interest on subordinated debt was $5.3 million for the six months ended June 30, 2026, compared to $5.5 million for the six months ended June 30, 2025. Interest expense on short-term borrowings totaled $10.5 million for the six months ended June 30, 2026, compared to $7.6 million for the six months ended June 30, 2025. Amortization expense associated with fair value marks for time deposits, subordinated debt, and trust preferred securities totaled $2.9 million for the six months ended June 30, 2026, compared to $3.6 million for the six months ended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Credit Losses</w:t>
      </w:r>
    </w:p>
    <w:p>
      <w:pPr>
        <w:pStyle w:val="TextBody"/>
        <w:bidi w:val="0"/>
        <w:spacing w:lineRule="auto" w:line="288" w:before="0" w:after="180"/>
        <w:jc w:val="both"/>
        <w:rPr/>
      </w:pPr>
      <w:r>
        <w:rPr>
          <w:rFonts w:ascii="Times New Roman;serif" w:hAnsi="Times New Roman;serif"/>
          <w:b w:val="false"/>
          <w:color w:val="000000"/>
          <w:sz w:val="20"/>
        </w:rPr>
        <w:t xml:space="preserve">The provision for credit losses was $1.4 million for the six months ended June 30, 2026, which was a small increase compared to a provision of $1.1 million for the six months ended June 30, 2025. For the six months ended June 30, 2026, the provision for off-balance sheet credit exposures was $2.0 million, compared to a recovery of $492.0 thousand, compared to the six months ended June 30, 2025. See </w:t>
      </w:r>
      <w:hyperlink w:anchor="ib9c5802e33ec4b258c2b42fcff6434e5_43">
        <w:r>
          <w:rPr>
            <w:rStyle w:val="InternetLink"/>
            <w:rFonts w:ascii="Times New Roman;serif" w:hAnsi="Times New Roman;serif"/>
            <w:b w:val="false"/>
            <w:color w:val="0000FF"/>
            <w:sz w:val="20"/>
            <w:u w:val="single"/>
          </w:rPr>
          <w:t>Note 4 - Allowance for Credit Losses</w:t>
        </w:r>
      </w:hyperlink>
      <w:r>
        <w:rPr>
          <w:color w:val="000000"/>
        </w:rPr>
        <w:t xml:space="preserve"> </w:t>
      </w:r>
      <w:r>
        <w:rPr>
          <w:rFonts w:ascii="Times New Roman;serif" w:hAnsi="Times New Roman;serif"/>
          <w:b w:val="false"/>
          <w:color w:val="000000"/>
          <w:sz w:val="20"/>
        </w:rPr>
        <w:t>in Notes to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various components of our non-interest income for the periods indicated (in thousands):</w:t>
      </w:r>
    </w:p>
    <w:tbl>
      <w:tblPr>
        <w:tblW w:w="8048" w:type="dxa"/>
        <w:jc w:val="left"/>
        <w:tblInd w:w="0" w:type="dxa"/>
        <w:tblLayout w:type="fixed"/>
        <w:tblCellMar>
          <w:top w:w="28" w:type="dxa"/>
          <w:left w:w="28" w:type="dxa"/>
          <w:bottom w:w="28" w:type="dxa"/>
          <w:right w:w="28" w:type="dxa"/>
        </w:tblCellMar>
      </w:tblPr>
      <w:tblGrid>
        <w:gridCol w:w="1178"/>
        <w:gridCol w:w="1035"/>
        <w:gridCol w:w="1042"/>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314"/>
        <w:gridCol w:w="316"/>
        <w:gridCol w:w="419"/>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Fiduciary and wealth management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company-owned life insurance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debit and other card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4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Non-interest income increased 16.6% for the six months ended June 30, 2026, compared to the six months ended June 30, 2025. All categories of non-interest income increased except service charges and fees and net (losses) gains on securities increased for the six months ended June 30, 2026, compared to the six months ended June 30, 2025. The increases in income from company-owned life insurance, bank debit and other card revenue and other non-interest income were driven by the LNKB Merger, while the increase in fiduciary and wealth management income was driven by the acquisition of Burke &amp; Herbert Wealth Services, LLC.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largest percentage increase included a $1.8 million increase in other non-interest income for the six months ended June 30, 2026, compared to the six months ended June 30, 2025, driven by increases in the utilization of services and fees in other non-interest income categories. The $1.5 million increase in fiduciary and wealth management income was driven by the acquisition of Burke &amp; Herbert Wealth Services, LLC and the corresponding increase in wealth and fiduciary services in connection with such acquisition for the six months ended June 30, 2026, compared to the six months ended June 30, 2025. Net (losses) gains on securities decreased $108.0 thousand, and was driven by an increase in sales in our AFS securities portfolio for the six months ended June 30, 2026, compared to the six months ended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Non-interest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various components of our non-interest expense for the periods indicated (in thousands):</w:t>
      </w:r>
    </w:p>
    <w:tbl>
      <w:tblPr>
        <w:tblW w:w="8364" w:type="dxa"/>
        <w:jc w:val="left"/>
        <w:tblInd w:w="0" w:type="dxa"/>
        <w:tblLayout w:type="fixed"/>
        <w:tblCellMar>
          <w:top w:w="28" w:type="dxa"/>
          <w:left w:w="28" w:type="dxa"/>
          <w:bottom w:w="28" w:type="dxa"/>
          <w:right w:w="28" w:type="dxa"/>
        </w:tblCellMar>
      </w:tblPr>
      <w:tblGrid>
        <w:gridCol w:w="1289"/>
        <w:gridCol w:w="1129"/>
        <w:gridCol w:w="1137"/>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233"/>
        <w:gridCol w:w="233"/>
        <w:gridCol w:w="419"/>
      </w:tblGrid>
      <w:tr>
        <w:trPr/>
        <w:tc>
          <w:tcPr>
            <w:tcW w:w="128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Pensions and other employee benefits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4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rentals, depreciation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4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ATM, card, and network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FDIC and other regulatory assessments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144,887 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98,969 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4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pPr>
      <w:r>
        <w:rPr>
          <w:rFonts w:ascii="Times New Roman;serif" w:hAnsi="Times New Roman;serif"/>
          <w:b w:val="false"/>
          <w:color w:val="000000"/>
          <w:sz w:val="20"/>
        </w:rPr>
        <w:t xml:space="preserve">Non-interest expense increased $45.9 million, or 46.4%, for the six months ended June 30, 2026, compared to the six months ended June 30, 2025. Increases were noted in every non-interest expense category and were driven by the effect of the LNKB Merger and merger expenses which included higher legal, consulting, audit, investment banking, software contract terminations, and change-in-control salary and benefit payments for the six months ended June 30, 2026, compared to the six months ended June 30, 2025. The largest dollar increase for the six months ended June 30, 2026 compared to the six months ended June 30, 2025 was $20.5 million for salaries and wages, mostly driven by change-in-control salary and benefit payments and a larger company-wide headcount due to the LNKB Merger. See </w:t>
      </w:r>
      <w:hyperlink w:anchor="ib9c5802e33ec4b258c2b42fcff6434e5_70">
        <w:r>
          <w:rPr>
            <w:rStyle w:val="InternetLink"/>
            <w:rFonts w:ascii="Times New Roman;serif" w:hAnsi="Times New Roman;serif"/>
            <w:b w:val="false"/>
            <w:color w:val="0000FF"/>
            <w:sz w:val="20"/>
            <w:u w:val="single"/>
          </w:rPr>
          <w:t>Note 13 — Other Operating Expense</w:t>
        </w:r>
      </w:hyperlink>
      <w:r>
        <w:rPr>
          <w:color w:val="000000"/>
        </w:rPr>
        <w:t xml:space="preserve"> </w:t>
      </w:r>
      <w:r>
        <w:rPr>
          <w:rFonts w:ascii="Times New Roman;serif" w:hAnsi="Times New Roman;serif"/>
          <w:b w:val="false"/>
          <w:color w:val="000000"/>
          <w:sz w:val="20"/>
        </w:rPr>
        <w:t>in Notes to Consolidated Financial Statements for further information on “Other” non-interest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Income tax expense was $8.5 million for the six months ended June 30, 2026, a decrease of $4.5 million from income tax expense for the six months ended June 30, 2025. The decrease was due to the decrease in income before income taxes for the six months ended June 30, 2026, when compared to the six months ended June 30, 2025. For the six months ended June 30, 2026, the effective tax rate was 18.7%, while the effective tax rate was 18.5% for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 for the Three Months Ended June 30, 2026, and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income applicable to common shares for the three months ended June 30, 2026, was $9.3 million, compared to net income applicable to common shares of $29.7 million during the three months ended June 30, 2025. The $20.4 million decrease in net income applicable to common shares was primarily the result of an increase in merger-related expenses for the 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interest income increased by $18.8 million to $93.0 million for the three months ended June 30, 2026, compared to $74.2 million for the three months ended June 30, 2025. The main driver for this increase was the impact of the LNKB Merger which resulted in an increase in the balance of interest-earning assets, in excess of the increase in interest-bearing liabilities.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the Company recorded credit provision expense of $1.4 million compared to a provision of $624.0 thousand, which was a small increase compared to the three months ended June 30, 2025. For the three months ended June 30, 2026, the provision for off-balance sheet credit exposures was $2.2 million, compared to a recovery of $93.0 thousand for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Non-interest income increased by $1.0 million, or 7.5%, to $13.8 million for the three months ended June 30, 2026, compared to $12.9 million for the three months ended June 30, 2025. All categories of non-interest income increased except net (losses) gains on securities, primarily due to the impact of the LNKB Merger, for the 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Non-interest expense increased by $44.2 million, or 89.6%, to $93.5 million for the three months ended June 30, 2026, as compared to $49.3 million for the three months ended June 30, 2025. The increase was primarily due to the effect of the LNKB Merger and included higher legal, consulting, audit, investment banking, software contract terminations, and change-in-control salary and benefit payments for the three months ended June 30, 2026, compared to the three months ended June 30, 2025.</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Net Interest Income and Net Interest Margin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Net interest income is the principal component of the Company’s income stream and represents the difference, or spread, between interest and fee income generated from earning assets and the interest expense paid on deposits and borrowed funds. Net interest margin, stated as a percentage, is the yield obtained by dividing the difference between interest income generated on earning assets and the interest expense paid on all funding sources by average earning assets.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Fluctuations in interest rates as well as changes in the volume and mix of earning assets and interest-bearing liabilities can impact net interest income and net interest margin. Management closely monitors both total net interest income and the net interest margin and seeks to maximize net interest income without exposing the Company to an excessive level of interest rate risk through our asset and liability policies. Interest rate risk is managed by monitoring the pricing, maturity and repricing options of all classes of interest-bearing assets and liabilities.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interest income totaled $93.0 million for the three months ended June 30, 2026, compared to $74.2 million for the three months ended June 30, 2025. The increase in net interest income was primarily driven by the LNKB Merger and results reflect higher average balances of interest-earning assets in excess of the higher average balances of interest-bearing liabilities. Accretion income associated with acquired loans totaled $9.3 million for the three months ended June 30, 2026, compared to $11.5 million for the three months ended June 30, 2025. Amortization expense associated with fair value marks for time deposits, subordinated debt, and trust preferred securities totaled $1.5 million for the three months ended June 30, 2026, compared to $1.4 million for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tax-adjusted net interest margin was 4.15% for the three months ended June 30, 2026, compared to 4.17% for the three months ended June 30, 2025. The decrease in tax-adjusted net interest margin was primarily driven by the LNKB Merger and the acquisition of additional lower yielding loans which led to lower rates on interest-earning assets and lower accretion income when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yield for the taxable loan portfolio was 6.54% for the three months ended June 30, 2026, compared to 6.90% for the three months ended June 30, 2025. The decrease was primarily the result of an increase in the balance of lower yielding loans due to the LNKB Merger, as well as lower accretion income for 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tax-adjusted yield on the total investment securities portfolio was 4.41% for the three months ended June 30, 2026, compared to 3.95% for the three months ended June 30, 2025. The increase was due to higher yields in our investment portfolio as well as an increase in balances due to the LNKB Merger for the three months ended June 30, 2026, compared to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rate on interest-bearing deposits decreased to 2.25% during the three months ended June 30, 2026, from 2.41% during the three months ended June 30, 2025. The decrease was primarily due to the LNKB Merger which resulted in an increase in lower rate deposits and decreases in interest rates across the different categories of deposit liabilities as well as decreases in market rates.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rate on our short-term borrowings for the three months ended June 30, 2026, was 3.64%, compared to 3.91% for the three months ended June 30, 2025. The decrease was due to decreases in the Federal Funds Rate and other short-term market rates and the addition of derivative swaps that decreased our cost of borrowing. The rate on our subordinated debt was 9.16% for the three months ended June 30, 2026, compared to 9.62% for the three months ended June 30,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major components of net interest income and the related yields and rates for the three months ended June 30, 2026, and June 30, 2025, for comparison (dollars in thousands).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35"/>
        <w:gridCol w:w="495"/>
        <w:gridCol w:w="301"/>
        <w:gridCol w:w="211"/>
        <w:gridCol w:w="1035"/>
        <w:gridCol w:w="117"/>
        <w:gridCol w:w="109"/>
        <w:gridCol w:w="109"/>
        <w:gridCol w:w="109"/>
        <w:gridCol w:w="211"/>
        <w:gridCol w:w="795"/>
        <w:gridCol w:w="117"/>
        <w:gridCol w:w="109"/>
        <w:gridCol w:w="109"/>
        <w:gridCol w:w="109"/>
        <w:gridCol w:w="304"/>
        <w:gridCol w:w="187"/>
        <w:gridCol w:w="442"/>
        <w:gridCol w:w="109"/>
        <w:gridCol w:w="109"/>
        <w:gridCol w:w="109"/>
        <w:gridCol w:w="213"/>
        <w:gridCol w:w="949"/>
        <w:gridCol w:w="118"/>
        <w:gridCol w:w="109"/>
        <w:gridCol w:w="109"/>
        <w:gridCol w:w="109"/>
        <w:gridCol w:w="214"/>
        <w:gridCol w:w="708"/>
        <w:gridCol w:w="119"/>
        <w:gridCol w:w="109"/>
        <w:gridCol w:w="109"/>
        <w:gridCol w:w="109"/>
        <w:gridCol w:w="307"/>
        <w:gridCol w:w="181"/>
        <w:gridCol w:w="511"/>
      </w:tblGrid>
      <w:tr>
        <w:trPr/>
        <w:tc>
          <w:tcPr>
            <w:tcW w:w="103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 the Three Months Ended June 30,</w:t>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Outstanding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 Yield /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Outstanding 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Income/Expense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Average Yield / Rate</w:t>
            </w:r>
          </w:p>
        </w:tc>
      </w:tr>
      <w:tr>
        <w:trPr/>
        <w:tc>
          <w:tcPr>
            <w:tcW w:w="1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Loans, gross </w:t>
            </w:r>
            <w:r>
              <w:rPr>
                <w:rFonts w:ascii="Times New Roman;serif" w:hAnsi="Times New Roman;serif"/>
                <w:b w:val="false"/>
                <w:color w:val="000000"/>
                <w:sz w:val="12"/>
              </w:rPr>
              <w:t>(1)(2)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7,156,639 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5,627,236 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Tax-exempt loans </w:t>
            </w:r>
            <w:r>
              <w:rPr>
                <w:rFonts w:ascii="Times New Roman;serif" w:hAnsi="Times New Roman;serif"/>
                <w:b w:val="false"/>
                <w:color w:val="000000"/>
                <w:sz w:val="12"/>
              </w:rPr>
              <w:t>(1)(2)</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loans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7,161,136 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116,839 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5,630,973 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96,858 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Interest-earning deposits and fed funds sold</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81,369 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Taxable AFS securities and other securities </w:t>
            </w:r>
            <w:r>
              <w:rPr>
                <w:rFonts w:ascii="Times New Roman;serif" w:hAnsi="Times New Roman;serif"/>
                <w:b w:val="false"/>
                <w:color w:val="000000"/>
                <w:sz w:val="12"/>
              </w:rPr>
              <w:t>(3)</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1,137,512 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1,059,310 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Tax-exempt AFS securities </w:t>
            </w:r>
            <w:r>
              <w:rPr>
                <w:rFonts w:ascii="Times New Roman;serif" w:hAnsi="Times New Roman;serif"/>
                <w:b w:val="false"/>
                <w:color w:val="000000"/>
                <w:sz w:val="12"/>
              </w:rPr>
              <w:t>(3)(4)</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830,459 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476,586 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securities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1,967,971 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21,615 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1,535,896 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interest-earning assets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9,198,632 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139,023 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7,248,238 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112,917 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Non-interest-earning assets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811,851 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615,947 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10,010,483 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7,864,185 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shareholders’ equity:</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Deposits:</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demand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1,802,833 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1,352,785 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demand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2,706,931 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Money market &amp; savings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2,106,402 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1,648,338 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Brokered CDs &amp; time deposits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1,421,123 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1,173,213 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deposits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6,234,456 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5,060,651 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8,037,289 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35,018 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6,413,436 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Short-term borrowings and other</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653,886 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457,775 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Subordinated debt borrowings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130,913 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9.62 </w:t>
            </w:r>
          </w:p>
        </w:tc>
        <w:tc>
          <w:tcPr>
            <w:tcW w:w="51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 liabilities</w:t>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7,019,255 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5,632,239 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37,625 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Non-interest-bearing liabilities</w:t>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124,480 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111,394 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1,063,915 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767,767 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10,010,483 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7,864,185 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Taxable-equivalent net interest income /net interest spread </w:t>
            </w:r>
            <w:r>
              <w:rPr>
                <w:rFonts w:ascii="Times New Roman;serif" w:hAnsi="Times New Roman;serif"/>
                <w:b w:val="false"/>
                <w:color w:val="000000"/>
                <w:sz w:val="12"/>
              </w:rPr>
              <w:t>(5)</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95,078 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Taxable-equivalent net interest margin </w:t>
            </w:r>
            <w:r>
              <w:rPr>
                <w:rFonts w:ascii="Times New Roman;serif" w:hAnsi="Times New Roman;serif"/>
                <w:b w:val="false"/>
                <w:color w:val="000000"/>
                <w:sz w:val="12"/>
              </w:rPr>
              <w:t>(6)</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Taxable-equivalent net adjustment</w:t>
            </w:r>
          </w:p>
        </w:tc>
        <w:tc>
          <w:tcPr>
            <w:tcW w:w="1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income</w:t>
            </w:r>
          </w:p>
        </w:tc>
        <w:tc>
          <w:tcPr>
            <w:tcW w:w="1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93,042 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interest-earning assets</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2,179,377 </w:t>
            </w:r>
          </w:p>
        </w:tc>
        <w:tc>
          <w:tcPr>
            <w:tcW w:w="1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1,615,999 </w:t>
            </w:r>
          </w:p>
        </w:tc>
        <w:tc>
          <w:tcPr>
            <w:tcW w:w="1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(1)Non-accrual loans are included in average loan balances.</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(2)Loan fees are included in the calculation of interest income.</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(3)Calculated based on fair value of investment securities.</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(4)Yields and interest income on tax-exempt assets are computed on a taxable-equivalent basis assuming a 21% tax rate.</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(5)The interest rate spread represents the difference between the fully taxable-equivalent weighted-average yield on interest-earning assets and the weighted-average rate of interest-bearing liabilities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(6)The net interest margin represents FTE net interest income as a percent of average interest-earning assets for the period.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Taxable-equivalent net interest margin, as presented above, is calculated by dividing FTE net interest income by total average earning assets. Net interest income, on an FTE basis, is a non-GAAP financial measure that the Company believes provides a more accurate picture of the interest margin for comparative purposes. Management believes FTE net interest income is a standard practice in the banking industry, and when net interest income is adjusted on an FTE basis, yields on taxable, nontaxable, and partially taxable assets are comparable; however, the adjustment to an FTE basis has no impact on net income. FTE net interest income is calculated by adding the tax benefit on certain financial interest-earning assets, whose interest is tax-exempt, to total interest income then subtracting total interest expense. As a non-GAAP measure, FTE net interest income should not be considered as a substitute for the nearest comparable GAAP measure, net interest income. Net interest income shown elsewhere in this presentation is GAAP net interest income. The following table reconciles GAAP net interest income to FTE net interest income (in thousands).</w:t>
      </w:r>
    </w:p>
    <w:p>
      <w:pPr>
        <w:pStyle w:val="TextBody"/>
        <w:bidi w:val="0"/>
        <w:spacing w:before="0" w:after="0"/>
        <w:jc w:val="left"/>
        <w:rPr/>
      </w:pPr>
      <w:r>
        <w:rPr/>
      </w:r>
    </w:p>
    <w:tbl>
      <w:tblPr>
        <w:tblW w:w="7417" w:type="dxa"/>
        <w:jc w:val="left"/>
        <w:tblInd w:w="0" w:type="dxa"/>
        <w:tblLayout w:type="fixed"/>
        <w:tblCellMar>
          <w:top w:w="28" w:type="dxa"/>
          <w:left w:w="28" w:type="dxa"/>
          <w:bottom w:w="28" w:type="dxa"/>
          <w:right w:w="28" w:type="dxa"/>
        </w:tblCellMar>
      </w:tblPr>
      <w:tblGrid>
        <w:gridCol w:w="1597"/>
        <w:gridCol w:w="1404"/>
        <w:gridCol w:w="1408"/>
        <w:gridCol w:w="109"/>
        <w:gridCol w:w="109"/>
        <w:gridCol w:w="109"/>
        <w:gridCol w:w="217"/>
        <w:gridCol w:w="817"/>
        <w:gridCol w:w="121"/>
        <w:gridCol w:w="109"/>
        <w:gridCol w:w="109"/>
        <w:gridCol w:w="109"/>
        <w:gridCol w:w="236"/>
        <w:gridCol w:w="778"/>
        <w:gridCol w:w="185"/>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Financial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Tax-exempt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Taxable AFS securities and other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Tax-exempt AFS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 Other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136,987 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111,858 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Borrowed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Subordinated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43,945 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93,042 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Financial Measurements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 Tax benefit on tax-exempt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tax benefit on tax-exempt interest income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Tax-equivalent net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95,078 </w:t>
            </w:r>
          </w:p>
        </w:tc>
        <w:tc>
          <w:tcPr>
            <w:tcW w:w="1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75,292 </w:t>
            </w:r>
          </w:p>
        </w:tc>
        <w:tc>
          <w:tcPr>
            <w:tcW w:w="1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(1)Tax benefit was calculated using the federal statutory tax rate of 21%.</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Yield/Rate and Volume Analysis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dollar difference in interest earned and paid for each major category of interest-earning assets and interest-bearing liabilities for the noted periods and the amount of such change attributable to changes in average balances (volume) or changes in average interest rates. Interest income and interest expense for the three months ended June 30, 2026, and June 30, 2025, are annualized using actual days over calendar year method. Volume variances are equal to the increase or decrease in average balance multiplied by current period rates, and rate variances are equal to the increase or decrease in rate times prior period average balances. Variances attributable to both rate and volume changes are calculated by multiplying the change in rate by the change in average balance and are allocated to the volume variance. See table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tbl>
      <w:tblPr>
        <w:tblW w:w="8164" w:type="dxa"/>
        <w:jc w:val="left"/>
        <w:tblInd w:w="0" w:type="dxa"/>
        <w:tblLayout w:type="fixed"/>
        <w:tblCellMar>
          <w:top w:w="28" w:type="dxa"/>
          <w:left w:w="28" w:type="dxa"/>
          <w:bottom w:w="28" w:type="dxa"/>
          <w:right w:w="28" w:type="dxa"/>
        </w:tblCellMar>
      </w:tblPr>
      <w:tblGrid>
        <w:gridCol w:w="1337"/>
        <w:gridCol w:w="1173"/>
        <w:gridCol w:w="1180"/>
        <w:gridCol w:w="284"/>
        <w:gridCol w:w="939"/>
        <w:gridCol w:w="157"/>
        <w:gridCol w:w="129"/>
        <w:gridCol w:w="129"/>
        <w:gridCol w:w="129"/>
        <w:gridCol w:w="238"/>
        <w:gridCol w:w="769"/>
        <w:gridCol w:w="132"/>
        <w:gridCol w:w="129"/>
        <w:gridCol w:w="129"/>
        <w:gridCol w:w="129"/>
        <w:gridCol w:w="232"/>
        <w:gridCol w:w="767"/>
        <w:gridCol w:w="182"/>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 vs June 30, 2025</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 Due to Change in:</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Volume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Rate</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Net Change</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the interest-earning assets: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gross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19,981 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Securities </w:t>
            </w:r>
            <w:r>
              <w:rPr>
                <w:rFonts w:ascii="Times New Roman;serif" w:hAnsi="Times New Roman;serif"/>
                <w:b w:val="false"/>
                <w:color w:val="000000"/>
                <w:sz w:val="12"/>
              </w:rPr>
              <w:t>(1)</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6,506 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bearing deposits and fed funds sold</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 on interest-earning assets</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from the interest-bearing liabilities:</w:t>
            </w:r>
          </w:p>
        </w:tc>
        <w:tc>
          <w:tcPr>
            <w:tcW w:w="13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Interest-bearing demand deposits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&amp; savings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CDs &amp; time deposits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1,727 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on interest-bearing deposits</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(2,356)</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13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debt and other</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borrowings</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2,323 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 on interest-bearing liabilities</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18"/>
              </w:rPr>
              <w:t>Taxable-equivalent net interest income</w:t>
            </w:r>
            <w:r>
              <w:rPr>
                <w:color w:val="000000"/>
              </w:rPr>
              <w:t xml:space="preserve"> </w:t>
            </w:r>
          </w:p>
        </w:tc>
        <w:tc>
          <w:tcPr>
            <w:tcW w:w="2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21,253 </w:t>
            </w:r>
          </w:p>
        </w:tc>
        <w:tc>
          <w:tcPr>
            <w:tcW w:w="15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w:t>
            </w:r>
          </w:p>
        </w:tc>
        <w:tc>
          <w:tcPr>
            <w:tcW w:w="1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19,786 </w:t>
            </w:r>
          </w:p>
        </w:tc>
        <w:tc>
          <w:tcPr>
            <w:tcW w:w="1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(1)Yields and interest income on tax-exempt loans and securities have been computed on a taxable-equivalent basis.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interest income was $137.0 million for the three months ended June 30, 2026, compared to $111.9 million for the three months ended June 30, 2025, an increase of 22.5%. The increase in interest income was primarily due to the LNKB Merger and an increase in the balance of interest-earning assets, partially offset by a decrease in accretion income when compared to the three months ended June 30, 2025. Interest income on loans increased by $20.0 million and interest income on securities increased $5.7 million, for the three months ended June 30, 2026, compared to the three months ended June 30, 2025, primarily due to the LNKB Merger. Accretion income associated with acquired loans totaled $9.3 million for the three months ended June 30, 2026, compared to $11.5 million for the three months ended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interest expense was $43.9 million for the three months ended June 30, 2026, compared to $37.6 million for the three months ended June 30, 2025. The increase in interest expense was due to results that reflect an increase in interest-bearing liabilities due to the LNKB Merger, partially offset by lower rates on interest-bearing liabilities. Interest expense on interest-bearing deposits increased by $4.6 million for the three months ended June 30, 2026, compared to the three months ended June 30, 2025, due to higher balances from the LNKB Merger and an increase in deposit gathering. Interest on subordinated debt was $3.0 million for the three months ended June 30, 2026, compared to $2.7 million for the three months ended June 30, 2025. Interest expense on short-term borrowings amounted to $5.9 million for the three months ended June 30, 2026, compared to $4.4 million for the three months ended June 30, 2025, due to higher average balances. Amortization expense associated with fair value marks for time deposits, subordinated debt, and trust preferred securities totaled $1.5 million for the three months ended June 30, 2026, compared to $1.4 million for the three months ended June 30, 2025.</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Provision for (Recapture of) Credit Losses</w:t>
      </w:r>
    </w:p>
    <w:p>
      <w:pPr>
        <w:pStyle w:val="TextBody"/>
        <w:bidi w:val="0"/>
        <w:spacing w:lineRule="auto" w:line="288" w:before="0" w:after="180"/>
        <w:jc w:val="both"/>
        <w:rPr/>
      </w:pPr>
      <w:r>
        <w:rPr>
          <w:rFonts w:ascii="Times New Roman;serif" w:hAnsi="Times New Roman;serif"/>
          <w:b w:val="false"/>
          <w:color w:val="000000"/>
          <w:sz w:val="20"/>
        </w:rPr>
        <w:t xml:space="preserve">The provision for credit losses was $1.4 million for the three months ended June 30, 2026, which was a small increase compared to a provision of $624.0 thousand for the three months ended June 30, 2025. For the three months ended June 30, 2026, the provision for off-balance sheet credit exposures was $2.2 million, compared to a recovery of $93.0 thousand for the three months ended June 30, 2025. See </w:t>
      </w:r>
      <w:hyperlink w:anchor="ib9c5802e33ec4b258c2b42fcff6434e5_43">
        <w:r>
          <w:rPr>
            <w:rStyle w:val="InternetLink"/>
            <w:rFonts w:ascii="Times New Roman;serif" w:hAnsi="Times New Roman;serif"/>
            <w:b w:val="false"/>
            <w:color w:val="0000FF"/>
            <w:sz w:val="20"/>
            <w:u w:val="single"/>
          </w:rPr>
          <w:t>Note 4 - Allowance for Credit Losses</w:t>
        </w:r>
      </w:hyperlink>
      <w:r>
        <w:rPr>
          <w:color w:val="000000"/>
        </w:rPr>
        <w:t xml:space="preserve"> </w:t>
      </w:r>
      <w:r>
        <w:rPr>
          <w:rFonts w:ascii="Times New Roman;serif" w:hAnsi="Times New Roman;serif"/>
          <w:b w:val="false"/>
          <w:color w:val="000000"/>
          <w:sz w:val="20"/>
        </w:rPr>
        <w:t>in Notes to Consolidated Financial Statements for further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Non-interest Income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various components of our non-interest income for the periods indicated (in thousands):</w:t>
      </w:r>
    </w:p>
    <w:tbl>
      <w:tblPr>
        <w:tblW w:w="7940" w:type="dxa"/>
        <w:jc w:val="left"/>
        <w:tblInd w:w="0" w:type="dxa"/>
        <w:tblLayout w:type="fixed"/>
        <w:tblCellMar>
          <w:top w:w="28" w:type="dxa"/>
          <w:left w:w="28" w:type="dxa"/>
          <w:bottom w:w="28" w:type="dxa"/>
          <w:right w:w="28" w:type="dxa"/>
        </w:tblCellMar>
      </w:tblPr>
      <w:tblGrid>
        <w:gridCol w:w="1178"/>
        <w:gridCol w:w="1035"/>
        <w:gridCol w:w="1042"/>
        <w:gridCol w:w="209"/>
        <w:gridCol w:w="691"/>
        <w:gridCol w:w="116"/>
        <w:gridCol w:w="116"/>
        <w:gridCol w:w="116"/>
        <w:gridCol w:w="116"/>
        <w:gridCol w:w="209"/>
        <w:gridCol w:w="691"/>
        <w:gridCol w:w="116"/>
        <w:gridCol w:w="109"/>
        <w:gridCol w:w="109"/>
        <w:gridCol w:w="109"/>
        <w:gridCol w:w="203"/>
        <w:gridCol w:w="438"/>
        <w:gridCol w:w="113"/>
        <w:gridCol w:w="113"/>
        <w:gridCol w:w="113"/>
        <w:gridCol w:w="113"/>
        <w:gridCol w:w="233"/>
        <w:gridCol w:w="233"/>
        <w:gridCol w:w="419"/>
      </w:tblGrid>
      <w:tr>
        <w:trPr/>
        <w:tc>
          <w:tcPr>
            <w:tcW w:w="117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Fiduciary and wealth management</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charges and fees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securities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company-owned life insurance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Bank debit and other card revenue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non-interest income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13,849 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12,877 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Non-interest income increased 7.5% for the three months ended June 30, 2026, compared to the three months ended June 30, 2025. The largest dollar and percentage increase was a $1.4 million increase in other non-interest income for the three months ended June 30, 2026, compared to the three months ended June 30, 2025. This increase was driven by an increase in the utilization of services and fees in other non-interest income categories for the three months ended June 30, 2026, compared to the three months ended June 30, 2025. Increases in fiduciary and wealth management, service charges and fees, income from company-owned life insurance, bank debit and other card revenue, and other non-interest income exceeded the decline in net (losses) gains on securities for the three months ended June 30, 2026, compared to the three months ended June 30, 2025. The fiduciary and wealth management increase was driven by the acquisition of Burke &amp; Herbert Wealth Services, LLC and increased wealth and fiduciary services performance, while the decrease in net (losses) gains from securities was driven by security sales.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Non-interest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various components of our non-interest expense for the periods indicated (in thousands):</w:t>
      </w:r>
    </w:p>
    <w:tbl>
      <w:tblPr>
        <w:tblW w:w="8515" w:type="dxa"/>
        <w:jc w:val="left"/>
        <w:tblInd w:w="0" w:type="dxa"/>
        <w:tblLayout w:type="fixed"/>
        <w:tblCellMar>
          <w:top w:w="28" w:type="dxa"/>
          <w:left w:w="28" w:type="dxa"/>
          <w:bottom w:w="28" w:type="dxa"/>
          <w:right w:w="28" w:type="dxa"/>
        </w:tblCellMar>
      </w:tblPr>
      <w:tblGrid>
        <w:gridCol w:w="1289"/>
        <w:gridCol w:w="1129"/>
        <w:gridCol w:w="1137"/>
        <w:gridCol w:w="209"/>
        <w:gridCol w:w="691"/>
        <w:gridCol w:w="116"/>
        <w:gridCol w:w="116"/>
        <w:gridCol w:w="116"/>
        <w:gridCol w:w="116"/>
        <w:gridCol w:w="209"/>
        <w:gridCol w:w="691"/>
        <w:gridCol w:w="116"/>
        <w:gridCol w:w="109"/>
        <w:gridCol w:w="109"/>
        <w:gridCol w:w="109"/>
        <w:gridCol w:w="196"/>
        <w:gridCol w:w="646"/>
        <w:gridCol w:w="109"/>
        <w:gridCol w:w="109"/>
        <w:gridCol w:w="109"/>
        <w:gridCol w:w="109"/>
        <w:gridCol w:w="278"/>
        <w:gridCol w:w="278"/>
        <w:gridCol w:w="419"/>
      </w:tblGrid>
      <w:tr>
        <w:trPr/>
        <w:tc>
          <w:tcPr>
            <w:tcW w:w="128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Increase (Decrease)</w:t>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and wages</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Pensions and other employee benefits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Occupancy</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4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rentals, depreciation and maintenance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deposit intangible amortization</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41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ATM, card, and network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FDIC and other regulatory assessments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142.4 </w:t>
            </w:r>
          </w:p>
        </w:tc>
        <w:tc>
          <w:tcPr>
            <w:tcW w:w="41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93,506 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49,305 </w:t>
            </w:r>
          </w:p>
        </w:tc>
        <w:tc>
          <w:tcPr>
            <w:tcW w:w="1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89.6 </w:t>
            </w:r>
          </w:p>
        </w:tc>
        <w:tc>
          <w:tcPr>
            <w:tcW w:w="4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both"/>
        <w:rPr/>
      </w:pPr>
      <w:r>
        <w:rPr>
          <w:rFonts w:ascii="Times New Roman;serif" w:hAnsi="Times New Roman;serif"/>
          <w:b w:val="false"/>
          <w:color w:val="000000"/>
          <w:sz w:val="20"/>
        </w:rPr>
        <w:t xml:space="preserve">Non-interest expense increased $44.2 million, or 89.6%, for the three months ended June 30, 2026, compared to the three months ended June 30, 2025. The increase was primarily driven by the LNKB Merger and merger expenses which included higher legal, consulting, audit, investment banking, software contract terminations, and change-in-control salary and benefit payments during the three months ended June 30, 2026, compared to the three months ended June 30, 2025. The largest dollar increase for the three months ended June 30, 2026, compared to the three months ended June 30, 2025 was $20.1 million for salaries and wages, mostly driven by change-in-control salary and benefit payments and a larger company-wide headcount, while core deposit intangible amortization increased due to the addition of new intangible assets from the LNKB Merger. See </w:t>
      </w:r>
      <w:hyperlink w:anchor="ib9c5802e33ec4b258c2b42fcff6434e5_70">
        <w:r>
          <w:rPr>
            <w:rStyle w:val="InternetLink"/>
            <w:rFonts w:ascii="Times New Roman;serif" w:hAnsi="Times New Roman;serif"/>
            <w:b w:val="false"/>
            <w:color w:val="0000FF"/>
            <w:sz w:val="20"/>
            <w:u w:val="single"/>
          </w:rPr>
          <w:t>Note 13 — Other Operating Expense</w:t>
        </w:r>
      </w:hyperlink>
      <w:r>
        <w:rPr>
          <w:color w:val="000000"/>
        </w:rPr>
        <w:t xml:space="preserve"> </w:t>
      </w:r>
      <w:r>
        <w:rPr>
          <w:rFonts w:ascii="Times New Roman;serif" w:hAnsi="Times New Roman;serif"/>
          <w:b w:val="false"/>
          <w:color w:val="000000"/>
          <w:sz w:val="20"/>
        </w:rPr>
        <w:t>in Notes to Consolidated Financial Statements for further information on “Other” non-interest expense.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was $2.5 million for the three months ended June 30, 2026, a decrease of $4.8 million from the tax expense of $7.3 million for the three months ended June 30, 2025. The decrease was due to the decrease in income before income taxes for the three months ended June 30, 2026, when compared to the three months ended June 30, 2025.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three months ended June 30, 2026, the effective tax rate was 21.0%, while the effective tax rate was 19.6% for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Analysis of Financial Condition for the Period Ended June 30, 2026, and December 31, 2025</w:t>
      </w:r>
    </w:p>
    <w:p>
      <w:pPr>
        <w:pStyle w:val="TextBody"/>
        <w:bidi w:val="0"/>
        <w:spacing w:lineRule="auto" w:line="288" w:before="0" w:after="180"/>
        <w:jc w:val="both"/>
        <w:rPr/>
      </w:pPr>
      <w:r>
        <w:rPr>
          <w:rFonts w:ascii="Times New Roman;serif" w:hAnsi="Times New Roman;serif"/>
          <w:b w:val="false"/>
          <w:color w:val="000000"/>
          <w:sz w:val="20"/>
        </w:rPr>
        <w:t xml:space="preserve">Assets increased by $3.1 billion to $11.0 billion as of June 30, 2026, compared to $7.9 billion as of December 31, 2025. Loans, net of ACL, increased by $2.6 billion from $5.3 billion as of December 31, 2025, to $7.9 billion as of June 30, 2026. Deposits increased by $2.6 billion and amounted to $9.0 billion at June 30, 2026, compared to $6.4 billion at December 31, 2025. The increases in these totals are primarily due to the LNKB Merger. Refer to </w:t>
      </w:r>
      <w:hyperlink w:anchor="ib9c5802e33ec4b258c2b42fcff6434e5_79">
        <w:r>
          <w:rPr>
            <w:rStyle w:val="InternetLink"/>
            <w:rFonts w:ascii="Times New Roman;serif" w:hAnsi="Times New Roman;serif"/>
            <w:b w:val="false"/>
            <w:color w:val="0000FF"/>
            <w:sz w:val="20"/>
            <w:u w:val="single"/>
          </w:rPr>
          <w:t>Note 16 - Business Combination</w:t>
        </w:r>
      </w:hyperlink>
      <w:r>
        <w:rPr>
          <w:color w:val="000000"/>
        </w:rPr>
        <w:t xml:space="preserve"> </w:t>
      </w:r>
      <w:r>
        <w:rPr>
          <w:rFonts w:ascii="Times New Roman;serif" w:hAnsi="Times New Roman;serif"/>
          <w:b w:val="false"/>
          <w:color w:val="000000"/>
          <w:sz w:val="20"/>
        </w:rPr>
        <w:t>in the Notes to the Consolidated Financial Statements for further information regarding assets and liabilities acquired and assumed.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Short-term borrowings increased by $75.0 million to $525.0 million as of June 30, 2026, compared to $450.0 million at December 31, 2025. Subordinated debt and subordinated debt owed to unconsolidated subsidiary trusts, increased by $64.7 million primarily due to subordinated debt assumed in the LNKB Merger, and totaled $152.2 million at June 30, 2026, compared to $87.5 million at December 31, 2025.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Investment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investment policy is established and reviewed annually by the Board. We are permitted under federal law to invest in various types of liquid assets, including United States Government obligations, securities of various federal agencies and of state and municipal governments, mortgage-backed securities, time deposits of federally insured institutions, certain bankers’ acceptances, and federal funds. Our securities are all classified as AFS.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investments provide a source of liquidity because we can pledge them to support borrowed funds or can liquidate them to generate cash proceeds. Our investment portfolio is also a resource in managing interest rate risk because the maturity and interest rate characteristics of this asset class can be modified to match changes in the loan and deposit portfolios. The majority of our AFS investment portfolio is comprised of obligations of states and municipalities and residential mortgage-backed securities. During the six months ended June 30, 2026, the unrealized losses on our holdings increased $2.4 million from December 31, 2025.</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declines in market value were due to increases in interest rates and market movements and not due to credit factors. Therefore, the Company has concluded that the unrealized losses for the AFS securities do not require an ACL at June 30, 2026, or at December 31, 2025.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sufficient access to liquidity such that management does not believe it would be necessary to sell any of its investment securities at a loss to offset any unexpected deposit outflows. Management believes the structure of the Bank’s investment portfolio is appropriately aligned with the rest of the balance sheet to protect against significant and unexpected charges against earnings and capital.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reflect the amortized cost and fair market values for the total portfolio for each category of investment for June 30, 2026, and December 31, 2025 (in thousands):</w:t>
      </w:r>
    </w:p>
    <w:tbl>
      <w:tblPr>
        <w:tblW w:w="10205" w:type="dxa"/>
        <w:jc w:val="left"/>
        <w:tblInd w:w="0" w:type="dxa"/>
        <w:tblLayout w:type="fixed"/>
        <w:tblCellMar>
          <w:top w:w="28" w:type="dxa"/>
          <w:left w:w="28" w:type="dxa"/>
          <w:bottom w:w="28" w:type="dxa"/>
          <w:right w:w="28" w:type="dxa"/>
        </w:tblCellMar>
      </w:tblPr>
      <w:tblGrid>
        <w:gridCol w:w="1092"/>
        <w:gridCol w:w="960"/>
        <w:gridCol w:w="961"/>
        <w:gridCol w:w="217"/>
        <w:gridCol w:w="966"/>
        <w:gridCol w:w="120"/>
        <w:gridCol w:w="109"/>
        <w:gridCol w:w="109"/>
        <w:gridCol w:w="109"/>
        <w:gridCol w:w="411"/>
        <w:gridCol w:w="1171"/>
        <w:gridCol w:w="231"/>
        <w:gridCol w:w="109"/>
        <w:gridCol w:w="109"/>
        <w:gridCol w:w="109"/>
        <w:gridCol w:w="385"/>
        <w:gridCol w:w="1270"/>
        <w:gridCol w:w="214"/>
        <w:gridCol w:w="109"/>
        <w:gridCol w:w="109"/>
        <w:gridCol w:w="109"/>
        <w:gridCol w:w="196"/>
        <w:gridCol w:w="871"/>
        <w:gridCol w:w="159"/>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Securities Available-for-Sale</w:t>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government agencies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148,946 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of states and municipalities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1,157,655 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57,839 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1,107,768 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backed - agency</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backed - non-agency</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372,533 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 backed - agency</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72,738 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 backed - non-agency</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1,996 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Asset-backed</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2,037,276 </w:t>
            </w:r>
          </w:p>
        </w:tc>
        <w:tc>
          <w:tcPr>
            <w:tcW w:w="1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9,474 </w:t>
            </w:r>
          </w:p>
        </w:tc>
        <w:tc>
          <w:tcPr>
            <w:tcW w:w="2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83,712 </w:t>
            </w:r>
          </w:p>
        </w:tc>
        <w:tc>
          <w:tcPr>
            <w:tcW w:w="21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1,963,038 </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92"/>
        <w:gridCol w:w="960"/>
        <w:gridCol w:w="961"/>
        <w:gridCol w:w="217"/>
        <w:gridCol w:w="966"/>
        <w:gridCol w:w="120"/>
        <w:gridCol w:w="109"/>
        <w:gridCol w:w="109"/>
        <w:gridCol w:w="109"/>
        <w:gridCol w:w="411"/>
        <w:gridCol w:w="1171"/>
        <w:gridCol w:w="231"/>
        <w:gridCol w:w="109"/>
        <w:gridCol w:w="109"/>
        <w:gridCol w:w="109"/>
        <w:gridCol w:w="385"/>
        <w:gridCol w:w="1270"/>
        <w:gridCol w:w="214"/>
        <w:gridCol w:w="109"/>
        <w:gridCol w:w="109"/>
        <w:gridCol w:w="109"/>
        <w:gridCol w:w="196"/>
        <w:gridCol w:w="871"/>
        <w:gridCol w:w="159"/>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Securities Available-for-Sale</w:t>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Treasuries and government agencies</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of states and municipalities</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977,104 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59,944 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922,574 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backed - agency</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backed - non-agency</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221,443 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5,211 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 backed - agency</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73,896 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mortgage backed - non-agency</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Asset-backed</w:t>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53,954 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1,687,817 </w:t>
            </w:r>
          </w:p>
        </w:tc>
        <w:tc>
          <w:tcPr>
            <w:tcW w:w="1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8,819 </w:t>
            </w:r>
          </w:p>
        </w:tc>
        <w:tc>
          <w:tcPr>
            <w:tcW w:w="2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80,682 </w:t>
            </w:r>
          </w:p>
        </w:tc>
        <w:tc>
          <w:tcPr>
            <w:tcW w:w="21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1,615,954 </w:t>
            </w:r>
          </w:p>
        </w:tc>
        <w:tc>
          <w:tcPr>
            <w:tcW w:w="1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investment maturity table below summarizes contractual maturities for our investment securities at June 30, 2026. The actual timing of principal payments may differ from remaining contractual maturities because obligors may have the right to repay certain obligations with or without penalties. The overall weighted average duration of the Company’s investment portfolio is 4.4 years at June 30, 2026. The weighted-average yield below represents the effective yield for the investment securities and is calculated based on the amortized cost of each security (dollars in thousands). Interest on securities below excludes tax-equivalent adjustments.</w:t>
      </w:r>
    </w:p>
    <w:tbl>
      <w:tblPr>
        <w:tblW w:w="12118" w:type="dxa"/>
        <w:jc w:val="left"/>
        <w:tblInd w:w="0" w:type="dxa"/>
        <w:tblLayout w:type="fixed"/>
        <w:tblCellMar>
          <w:top w:w="28" w:type="dxa"/>
          <w:left w:w="28" w:type="dxa"/>
          <w:bottom w:w="28" w:type="dxa"/>
          <w:right w:w="28" w:type="dxa"/>
        </w:tblCellMar>
      </w:tblPr>
      <w:tblGrid>
        <w:gridCol w:w="386"/>
        <w:gridCol w:w="339"/>
        <w:gridCol w:w="341"/>
        <w:gridCol w:w="181"/>
        <w:gridCol w:w="541"/>
        <w:gridCol w:w="109"/>
        <w:gridCol w:w="109"/>
        <w:gridCol w:w="109"/>
        <w:gridCol w:w="109"/>
        <w:gridCol w:w="254"/>
        <w:gridCol w:w="152"/>
        <w:gridCol w:w="297"/>
        <w:gridCol w:w="109"/>
        <w:gridCol w:w="109"/>
        <w:gridCol w:w="109"/>
        <w:gridCol w:w="181"/>
        <w:gridCol w:w="616"/>
        <w:gridCol w:w="109"/>
        <w:gridCol w:w="109"/>
        <w:gridCol w:w="109"/>
        <w:gridCol w:w="109"/>
        <w:gridCol w:w="239"/>
        <w:gridCol w:w="152"/>
        <w:gridCol w:w="297"/>
        <w:gridCol w:w="109"/>
        <w:gridCol w:w="109"/>
        <w:gridCol w:w="109"/>
        <w:gridCol w:w="181"/>
        <w:gridCol w:w="721"/>
        <w:gridCol w:w="109"/>
        <w:gridCol w:w="109"/>
        <w:gridCol w:w="109"/>
        <w:gridCol w:w="109"/>
        <w:gridCol w:w="254"/>
        <w:gridCol w:w="152"/>
        <w:gridCol w:w="297"/>
        <w:gridCol w:w="109"/>
        <w:gridCol w:w="109"/>
        <w:gridCol w:w="109"/>
        <w:gridCol w:w="181"/>
        <w:gridCol w:w="616"/>
        <w:gridCol w:w="109"/>
        <w:gridCol w:w="109"/>
        <w:gridCol w:w="109"/>
        <w:gridCol w:w="109"/>
        <w:gridCol w:w="254"/>
        <w:gridCol w:w="152"/>
        <w:gridCol w:w="297"/>
        <w:gridCol w:w="109"/>
        <w:gridCol w:w="109"/>
        <w:gridCol w:w="109"/>
        <w:gridCol w:w="181"/>
        <w:gridCol w:w="721"/>
        <w:gridCol w:w="109"/>
        <w:gridCol w:w="109"/>
        <w:gridCol w:w="109"/>
        <w:gridCol w:w="109"/>
        <w:gridCol w:w="282"/>
        <w:gridCol w:w="109"/>
        <w:gridCol w:w="256"/>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2" w:type="dxa"/>
            <w:gridSpan w:val="5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2"/>
              </w:rPr>
            </w:pPr>
            <w:r>
              <w:rPr>
                <w:rFonts w:ascii="Times New Roman;serif" w:hAnsi="Times New Roman;serif"/>
                <w:b/>
                <w:color w:val="000000"/>
                <w:sz w:val="12"/>
              </w:rPr>
              <w:t>June 30, 2026</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One Year or Less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One to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Five to 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After Ten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Weighted Average Yield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2"/>
              </w:rPr>
            </w:pPr>
            <w:r>
              <w:rPr>
                <w:rFonts w:ascii="Times New Roman;serif" w:hAnsi="Times New Roman;serif"/>
                <w:b/>
                <w:color w:val="000000"/>
                <w:sz w:val="12"/>
              </w:rPr>
              <w:t>Weighted Average Yield</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2"/>
              </w:rPr>
            </w:pPr>
            <w:r>
              <w:rPr>
                <w:rFonts w:ascii="Times New Roman;serif" w:hAnsi="Times New Roman;serif"/>
                <w:b/>
                <w:color w:val="000000"/>
                <w:sz w:val="12"/>
              </w:rPr>
              <w:t>Securities Available-for-Sale</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U.S. Treasuries and government agencies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4"/>
              </w:rPr>
            </w:pPr>
            <w:r>
              <w:rPr>
                <w:rFonts w:ascii="Times New Roman;serif" w:hAnsi="Times New Roman;serif"/>
                <w:b w:val="false"/>
                <w:color w:val="000000"/>
                <w:sz w:val="14"/>
              </w:rPr>
              <w:t>%</w:t>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Obligations of states and municipalities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324,909 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607,699 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3.69 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1,157,655 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3.33 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Residential mortgage backed - agency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Residential mortgage backed - non-agency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4.77 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Commercial mortgage backed - agency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5.10 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Commercial mortgage backed - non-agency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2"/>
              </w:rPr>
            </w:pPr>
            <w:r>
              <w:rPr>
                <w:rFonts w:ascii="Times New Roman;serif" w:hAnsi="Times New Roman;serif"/>
                <w:b w:val="false"/>
                <w:color w:val="000000"/>
                <w:sz w:val="12"/>
              </w:rPr>
              <w:t>Asset-backed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4.98 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4.75 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Other</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6.10 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9.52 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6.84 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2"/>
              </w:rPr>
            </w:pPr>
            <w:r>
              <w:rPr>
                <w:rFonts w:ascii="Times New Roman;serif" w:hAnsi="Times New Roman;serif"/>
                <w:b w:val="false"/>
                <w:color w:val="000000"/>
                <w:sz w:val="12"/>
              </w:rPr>
              <w:t>Total</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19,491 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4.52 </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732,813 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2.93 </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1,017,847 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4.04 </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267,125 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3.75 </w:t>
            </w:r>
          </w:p>
        </w:tc>
        <w:tc>
          <w:tcPr>
            <w:tcW w:w="29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2,037,276 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3.61 </w:t>
            </w:r>
          </w:p>
        </w:tc>
        <w:tc>
          <w:tcPr>
            <w:tcW w:w="2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Lending Activities</w:t>
      </w:r>
    </w:p>
    <w:p>
      <w:pPr>
        <w:pStyle w:val="TextBody"/>
        <w:bidi w:val="0"/>
        <w:spacing w:lineRule="auto" w:line="288" w:before="0" w:after="180"/>
        <w:jc w:val="both"/>
        <w:rPr/>
      </w:pPr>
      <w:r>
        <w:rPr>
          <w:rFonts w:ascii="Times New Roman;serif" w:hAnsi="Times New Roman;serif"/>
          <w:b w:val="false"/>
          <w:color w:val="000000"/>
          <w:sz w:val="20"/>
        </w:rPr>
        <w:t xml:space="preserve">Our loan portfolio consists primarily of commercial real estate loans, but we offer a variety of products to meet the credit needs of our borrowers. The risks associated with lending activities differ among loan classes and are subject to the impact of changes in interest rates, market conditions of collateral securing the loans, and general economic conditions. Any of these factors may adversely impact a borrower’s ability to repay loans and also impact the associated collateral. Additional discussion on the classes of loans the Company makes and related risks is included in </w:t>
      </w:r>
      <w:hyperlink w:anchor="ib9c5802e33ec4b258c2b42fcff6434e5_40">
        <w:r>
          <w:rPr>
            <w:rStyle w:val="InternetLink"/>
            <w:rFonts w:ascii="Times New Roman;serif" w:hAnsi="Times New Roman;serif"/>
            <w:b w:val="false"/>
            <w:color w:val="0000FF"/>
            <w:sz w:val="20"/>
            <w:u w:val="single"/>
          </w:rPr>
          <w:t>Note 3 — Loans</w:t>
        </w:r>
      </w:hyperlink>
      <w:r>
        <w:rPr>
          <w:color w:val="000000"/>
        </w:rPr>
        <w:t xml:space="preserve"> </w:t>
      </w:r>
      <w:r>
        <w:rPr>
          <w:rFonts w:ascii="Times New Roman;serif" w:hAnsi="Times New Roman;serif"/>
          <w:b w:val="false"/>
          <w:color w:val="000000"/>
          <w:sz w:val="20"/>
        </w:rPr>
        <w:t>in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the composition of our loan portfolio as of the dates indicated (in thousands):</w:t>
      </w:r>
    </w:p>
    <w:tbl>
      <w:tblPr>
        <w:tblW w:w="6449" w:type="dxa"/>
        <w:jc w:val="left"/>
        <w:tblInd w:w="0" w:type="dxa"/>
        <w:tblLayout w:type="fixed"/>
        <w:tblCellMar>
          <w:top w:w="28" w:type="dxa"/>
          <w:left w:w="28" w:type="dxa"/>
          <w:bottom w:w="28" w:type="dxa"/>
          <w:right w:w="28" w:type="dxa"/>
        </w:tblCellMar>
      </w:tblPr>
      <w:tblGrid>
        <w:gridCol w:w="1096"/>
        <w:gridCol w:w="966"/>
        <w:gridCol w:w="968"/>
        <w:gridCol w:w="109"/>
        <w:gridCol w:w="109"/>
        <w:gridCol w:w="109"/>
        <w:gridCol w:w="196"/>
        <w:gridCol w:w="871"/>
        <w:gridCol w:w="109"/>
        <w:gridCol w:w="109"/>
        <w:gridCol w:w="109"/>
        <w:gridCol w:w="109"/>
        <w:gridCol w:w="255"/>
        <w:gridCol w:w="1134"/>
        <w:gridCol w:w="200"/>
      </w:tblGrid>
      <w:tr>
        <w:trPr/>
        <w:tc>
          <w:tcPr>
            <w:tcW w:w="10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3,898,387 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2,769,287 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1,152,749 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593,120 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452,638 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386,870 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840,878 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461,921 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Single family residential (1-4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1,605,524 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1,127,684 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49,589 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48,794 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Loans,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5,387,676 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(67,823)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Loans,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7,905,295 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88" w:before="0" w:after="180"/>
              <w:jc w:val="right"/>
              <w:rPr>
                <w:rFonts w:ascii="Times New Roman;serif" w:hAnsi="Times New Roman;serif"/>
                <w:b w:val="false"/>
                <w:color w:val="000000"/>
                <w:sz w:val="18"/>
              </w:rPr>
            </w:pPr>
            <w:r>
              <w:rPr>
                <w:rFonts w:ascii="Times New Roman;serif" w:hAnsi="Times New Roman;serif"/>
                <w:b w:val="false"/>
                <w:color w:val="000000"/>
                <w:sz w:val="18"/>
              </w:rPr>
              <w:t>5,319,853 </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loan portfolio, excluding ACL, at June 30, 2026, increased by $2.6 billion from December 31, 2025, primarily due to the completion of the LNKB Merger.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maturity distribution for total loans outstanding as of June 30, 2026. The maturity distribution is grouped by remaining scheduled principal payments that are due in the following periods. The principal balance of loans is indicated by both fixed and floating rate categories in the table below (in thousands).</w:t>
      </w:r>
    </w:p>
    <w:tbl>
      <w:tblPr>
        <w:tblW w:w="13981" w:type="dxa"/>
        <w:jc w:val="left"/>
        <w:tblInd w:w="0" w:type="dxa"/>
        <w:tblLayout w:type="fixed"/>
        <w:tblCellMar>
          <w:top w:w="28" w:type="dxa"/>
          <w:left w:w="28" w:type="dxa"/>
          <w:bottom w:w="28" w:type="dxa"/>
          <w:right w:w="28" w:type="dxa"/>
        </w:tblCellMar>
      </w:tblPr>
      <w:tblGrid>
        <w:gridCol w:w="608"/>
        <w:gridCol w:w="360"/>
        <w:gridCol w:w="308"/>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Within One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One Year to Five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Five Years to 15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After 15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Adjustable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Adjustable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Adjustable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Fixed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Adjustable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Loans: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real estate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3,898,387 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Owner-occupied commercial real estate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1,152,749 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construction &amp;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452,638 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840,878 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commercial loans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512,426 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1,882,325 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1,037,859 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217,096 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6,344,652 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Single family residential (1-4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559,948 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1,605,524 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Consumer non-real estate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loans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500,538 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538,472 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2,019,468 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1,070,088 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667,194 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1,324,348 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777,494 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1,102,163 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7,999,765 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Asset Quality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policies and procedures to promote sound underwriting and mitigate credit risk. The Chief Credit Officer is responsible for establishing credit risk policies and procedures, including underwriting guidelines and credit approval authority, and monitoring credit exposure and performance of the Company’s lending-related transactions. We regularly monitor the level of loan delinquencies and believe these levels are a key indicator of credit quality in our loan portfolio. We manage credit risk based on the risk profile of the borrower, repayment sources, underlying collateral, and other support given current events, economic conditions and expectations.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 loan is placed on non-accrual status when (i) the Company is advised by the borrower that scheduled principal or interest payments cannot be met, (ii) when management’s best judgment indicates that payment in full of principal and interest can no longer be expected, or (iii) when any such loan or obligation becomes delinquent for 90 days, unless it is both well-secured and in the process of collection.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asset quality metrics remain within the Company’s risk profile with adequate reserve coverage. Driven primarily by the LNKB Merger, the Company’s nonaccrual loan balances increased by $17.8 million from December 31, 2025, while the Company’s loans 90 days past due and still accruing increased $3.3 million from December 31, 2025. Primarily due to the LNKB Merger, the Company’s non-performing assets, which includes non-performing loans consisting of non-accrual loans, loans that are more than 90 days past due and still accruing, and other real estate owned as of June 30, 2026, totaled $98.2 million, an increase of $21.3 million from $76.9 million at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non-performing assets as of June 30, 2026, and December 31, 2025 (in thousands):</w:t>
      </w:r>
    </w:p>
    <w:tbl>
      <w:tblPr>
        <w:tblW w:w="6166"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238"/>
        <w:gridCol w:w="785"/>
        <w:gridCol w:w="132"/>
        <w:gridCol w:w="109"/>
        <w:gridCol w:w="109"/>
        <w:gridCol w:w="109"/>
        <w:gridCol w:w="318"/>
        <w:gridCol w:w="1050"/>
        <w:gridCol w:w="177"/>
        <w:gridCol w:w="109"/>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Non-accrual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88,388 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70,613 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90 days past due and still accruing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95,308 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real estate owned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non-performing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98,242 </w:t>
            </w:r>
          </w:p>
        </w:tc>
        <w:tc>
          <w:tcPr>
            <w:tcW w:w="13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76,925 </w:t>
            </w:r>
          </w:p>
        </w:tc>
        <w:tc>
          <w:tcPr>
            <w:tcW w:w="1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Allowance for Credit Losses </w:t>
      </w:r>
    </w:p>
    <w:p>
      <w:pPr>
        <w:pStyle w:val="TextBody"/>
        <w:bidi w:val="0"/>
        <w:spacing w:lineRule="auto" w:line="288" w:before="0" w:after="180"/>
        <w:jc w:val="both"/>
        <w:rPr/>
      </w:pPr>
      <w:r>
        <w:rPr>
          <w:rFonts w:ascii="Times New Roman;serif" w:hAnsi="Times New Roman;serif"/>
          <w:b w:val="false"/>
          <w:color w:val="000000"/>
          <w:sz w:val="20"/>
        </w:rPr>
        <w:t xml:space="preserve">Refer to the discussion in </w:t>
      </w:r>
      <w:hyperlink w:anchor="ib9c5802e33ec4b258c2b42fcff6434e5_43">
        <w:r>
          <w:rPr>
            <w:rStyle w:val="InternetLink"/>
            <w:rFonts w:ascii="Times New Roman;serif" w:hAnsi="Times New Roman;serif"/>
            <w:b w:val="false"/>
            <w:color w:val="0000FF"/>
            <w:sz w:val="20"/>
            <w:u w:val="single"/>
          </w:rPr>
          <w:t>Note 4 — Allowance for Credit Losses</w:t>
        </w:r>
      </w:hyperlink>
      <w:r>
        <w:rPr>
          <w:color w:val="000000"/>
        </w:rPr>
        <w:t xml:space="preserve"> </w:t>
      </w:r>
      <w:r>
        <w:rPr>
          <w:rFonts w:ascii="Times New Roman;serif" w:hAnsi="Times New Roman;serif"/>
          <w:b w:val="false"/>
          <w:color w:val="000000"/>
          <w:sz w:val="20"/>
        </w:rPr>
        <w:t xml:space="preserve">in Notes to Consolidated Financial Statements for management’s approach to estimating the ACL.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the ACL at a level deemed adequate by management for expected credit losses. The Company’s ACL is calculated quarterly with any adjustment recorded to the provision for credit losses in the Consolidated Statement of Income. Management evaluates the adequacy of the ACL utilizing a defined methodology to determine if it properly addresses the current and expected risks in the loan portfolio, which considers the performance of borrowers and specific evaluation of individually evaluated loans, including historical loss experiences, trends in delinquencies, non-performing loans and other risk assets, and qualitative factors. Risk factors are continuously reviewed and adjusted, as needed, by management when conditions support a change. Management believes its approach properly addresses relevant accounting and bank regulatory guidance for loans both collectively and individually evaluated.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recorded a total provision expense of $1.4 million and $624.0 thousand for the three months ended June 30, 2026, and June 30, 2025, respectively, and a total provision expense of $1.4 million and $1.1 million for the six months ended June 30, 2026, and June 30, 2025, respectively. During the six months ended June 30, 2026, the Company recorded a $5.3 million provision directly to the allowance for credit losses to establish an allowance for acquired PCD loans. This allowance for acquired PCD loans did not result in an additional provision expense for the six months ended June 30, 2026.</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Gross charged-off loans were $1.4 million and $1.5 million for the three months ended June 30, 2026, and June 30, 2025, respectively and $1.9 million and $3.0 million for the six months ended June 30, 2026, and June 30, 2025, respectively. Gross recoveries totaled $274.0 thousand and $326.0 thousand for the three months ended June 30, 2026, and June 30, 2025, respectively and $653.0 thousand and $563.0 thousand for the six months ended June 30, 2026, and June 30, 2025, respectively. The ACL as a percentage of gross loans, net of unearned income, was 1.18% and 1.20% as of June 30, 2026, and June 30,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Company’s credit loss experience by portfolio for the three and six months ended June 30, 2026, and 2025 (dollars in thousands):</w:t>
      </w:r>
    </w:p>
    <w:tbl>
      <w:tblPr>
        <w:tblW w:w="10205" w:type="dxa"/>
        <w:jc w:val="left"/>
        <w:tblInd w:w="0" w:type="dxa"/>
        <w:tblLayout w:type="fixed"/>
        <w:tblCellMar>
          <w:top w:w="28" w:type="dxa"/>
          <w:left w:w="28" w:type="dxa"/>
          <w:bottom w:w="28" w:type="dxa"/>
          <w:right w:w="28" w:type="dxa"/>
        </w:tblCellMar>
      </w:tblPr>
      <w:tblGrid>
        <w:gridCol w:w="1382"/>
        <w:gridCol w:w="1086"/>
        <w:gridCol w:w="1091"/>
        <w:gridCol w:w="109"/>
        <w:gridCol w:w="109"/>
        <w:gridCol w:w="109"/>
        <w:gridCol w:w="196"/>
        <w:gridCol w:w="871"/>
        <w:gridCol w:w="256"/>
        <w:gridCol w:w="109"/>
        <w:gridCol w:w="109"/>
        <w:gridCol w:w="109"/>
        <w:gridCol w:w="196"/>
        <w:gridCol w:w="871"/>
        <w:gridCol w:w="256"/>
        <w:gridCol w:w="109"/>
        <w:gridCol w:w="109"/>
        <w:gridCol w:w="109"/>
        <w:gridCol w:w="196"/>
        <w:gridCol w:w="871"/>
        <w:gridCol w:w="256"/>
        <w:gridCol w:w="109"/>
        <w:gridCol w:w="109"/>
        <w:gridCol w:w="109"/>
        <w:gridCol w:w="196"/>
        <w:gridCol w:w="871"/>
        <w:gridCol w:w="302"/>
      </w:tblGrid>
      <w:tr>
        <w:trPr/>
        <w:tc>
          <w:tcPr>
            <w:tcW w:w="138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3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outstanding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7,999,765 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5,590,457 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7,999,765 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5,590,457 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of allowance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(67,753)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(68,040)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established for acquired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(28,507)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charged-off: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loans charged-off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2,964 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Recoveries of loans charged-off: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recoveries of loans charged-off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loan charge-offs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2,401 </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(recapture of) credit losses for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(67,256)</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(67,256)</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Average loans outstanding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7,161,136 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5,630,973 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6,277,412 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5,643,414 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Allowance coverage ratio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 xml:space="preserve">Net charge-offs to average outstanding loans during the period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Allowance for credit losses as a percentage of non-performing loans </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78.63 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(1)The allowance coverage ratio is calculated by dividing the ACL at the end of the period by gross loans, net of unearned income at the end of the period. </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(2)The Net charge-offs to average outstanding loans during the period is calculated by dividing total net loan charge-offs (recoveries) during the year by average gross loans outstanding during the year. </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(3)The Allowance for credit losses as a percentage of non-performing loans ratio is calculated by dividing the ACL at the end of the period by non-accrual loans and loans 90 days past due and still accruing at the end of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ACL by portfolio with a comparison of the percentage composition in relation to total ACL and allowance for credit losses and total loans as of June 30, 2026, and December 31, 2025 (dollars in thousands).</w:t>
      </w:r>
    </w:p>
    <w:tbl>
      <w:tblPr>
        <w:tblW w:w="10205" w:type="dxa"/>
        <w:jc w:val="left"/>
        <w:tblInd w:w="0" w:type="dxa"/>
        <w:tblLayout w:type="fixed"/>
        <w:tblCellMar>
          <w:top w:w="28" w:type="dxa"/>
          <w:left w:w="28" w:type="dxa"/>
          <w:bottom w:w="28" w:type="dxa"/>
          <w:right w:w="28" w:type="dxa"/>
        </w:tblCellMar>
      </w:tblPr>
      <w:tblGrid>
        <w:gridCol w:w="852"/>
        <w:gridCol w:w="665"/>
        <w:gridCol w:w="634"/>
        <w:gridCol w:w="109"/>
        <w:gridCol w:w="109"/>
        <w:gridCol w:w="109"/>
        <w:gridCol w:w="315"/>
        <w:gridCol w:w="1039"/>
        <w:gridCol w:w="175"/>
        <w:gridCol w:w="109"/>
        <w:gridCol w:w="109"/>
        <w:gridCol w:w="109"/>
        <w:gridCol w:w="780"/>
        <w:gridCol w:w="662"/>
        <w:gridCol w:w="1557"/>
        <w:gridCol w:w="109"/>
        <w:gridCol w:w="109"/>
        <w:gridCol w:w="109"/>
        <w:gridCol w:w="647"/>
        <w:gridCol w:w="500"/>
        <w:gridCol w:w="1398"/>
      </w:tblGrid>
      <w:tr>
        <w:trPr/>
        <w:tc>
          <w:tcPr>
            <w:tcW w:w="85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Allowance in Each Category to Total Allocated ACL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Loans in Each Category to Total Loans</w:t>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36.47 </w:t>
            </w:r>
          </w:p>
        </w:tc>
        <w:tc>
          <w:tcPr>
            <w:tcW w:w="15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48.73 </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1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5.66 </w:t>
            </w:r>
          </w:p>
        </w:tc>
        <w:tc>
          <w:tcPr>
            <w:tcW w:w="1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15.97 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10.51 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22.59 </w:t>
            </w:r>
          </w:p>
        </w:tc>
        <w:tc>
          <w:tcPr>
            <w:tcW w:w="15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20.07 </w:t>
            </w:r>
          </w:p>
        </w:tc>
        <w:tc>
          <w:tcPr>
            <w:tcW w:w="13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0.90 </w:t>
            </w:r>
          </w:p>
        </w:tc>
        <w:tc>
          <w:tcPr>
            <w:tcW w:w="15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0.62 </w:t>
            </w:r>
          </w:p>
        </w:tc>
        <w:tc>
          <w:tcPr>
            <w:tcW w:w="1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94,470 </w:t>
            </w:r>
          </w:p>
        </w:tc>
        <w:tc>
          <w:tcPr>
            <w:tcW w:w="1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5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3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843"/>
        <w:gridCol w:w="653"/>
        <w:gridCol w:w="621"/>
        <w:gridCol w:w="109"/>
        <w:gridCol w:w="109"/>
        <w:gridCol w:w="109"/>
        <w:gridCol w:w="310"/>
        <w:gridCol w:w="1023"/>
        <w:gridCol w:w="172"/>
        <w:gridCol w:w="109"/>
        <w:gridCol w:w="109"/>
        <w:gridCol w:w="109"/>
        <w:gridCol w:w="810"/>
        <w:gridCol w:w="687"/>
        <w:gridCol w:w="1617"/>
        <w:gridCol w:w="109"/>
        <w:gridCol w:w="109"/>
        <w:gridCol w:w="109"/>
        <w:gridCol w:w="639"/>
        <w:gridCol w:w="487"/>
        <w:gridCol w:w="1362"/>
      </w:tblGrid>
      <w:tr>
        <w:trPr/>
        <w:tc>
          <w:tcPr>
            <w:tcW w:w="8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1"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 for credit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Allowance in Each Category to Total Allocated Allowance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Loans in Each Category to Total Loans</w:t>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26,190 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38.62 </w:t>
            </w:r>
          </w:p>
        </w:tc>
        <w:tc>
          <w:tcPr>
            <w:tcW w:w="1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51.40 </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Owner-occupied commercial real estate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construction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1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8,227 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18.48 </w:t>
            </w:r>
          </w:p>
        </w:tc>
        <w:tc>
          <w:tcPr>
            <w:tcW w:w="16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3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Consumer non-real estate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6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0.91 </w:t>
            </w:r>
          </w:p>
        </w:tc>
        <w:tc>
          <w:tcPr>
            <w:tcW w:w="13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67,823 </w:t>
            </w:r>
          </w:p>
        </w:tc>
        <w:tc>
          <w:tcPr>
            <w:tcW w:w="1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6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3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0" w:after="180"/>
        <w:jc w:val="both"/>
        <w:rPr/>
      </w:pPr>
      <w:r>
        <w:rPr>
          <w:rFonts w:ascii="Times New Roman;serif" w:hAnsi="Times New Roman;serif"/>
          <w:b w:val="false"/>
          <w:color w:val="000000"/>
          <w:sz w:val="20"/>
        </w:rPr>
        <w:t xml:space="preserve">The Company utilizes interest rate swap agreements as part of its asset/liability management strategy to help manage its interest rate risk position. The Company recognizes derivative financial instruments at fair value as either other assets or accrued interest and other liabilities on the Consolidated Balance Sheets. The Company’s use of derivative financial instruments is described more fully in </w:t>
      </w:r>
      <w:hyperlink w:anchor="ib9c5802e33ec4b258c2b42fcff6434e5_58">
        <w:r>
          <w:rPr>
            <w:rStyle w:val="InternetLink"/>
            <w:rFonts w:ascii="Times New Roman;serif" w:hAnsi="Times New Roman;serif"/>
            <w:b w:val="false"/>
            <w:color w:val="0000FF"/>
            <w:sz w:val="20"/>
            <w:u w:val="single"/>
          </w:rPr>
          <w:t>Note 9 — Derivatives</w:t>
        </w:r>
      </w:hyperlink>
      <w:r>
        <w:rPr>
          <w:color w:val="000000"/>
        </w:rPr>
        <w:t xml:space="preserve"> </w:t>
      </w:r>
      <w:r>
        <w:rPr>
          <w:rFonts w:ascii="Times New Roman;serif" w:hAnsi="Times New Roman;serif"/>
          <w:b w:val="false"/>
          <w:color w:val="000000"/>
          <w:sz w:val="20"/>
        </w:rPr>
        <w:t>in Notes to Consolidated Financial Statements.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0" w:after="180"/>
        <w:jc w:val="both"/>
        <w:rPr/>
      </w:pPr>
      <w:r>
        <w:rPr>
          <w:rFonts w:ascii="Times New Roman;serif" w:hAnsi="Times New Roman;serif"/>
          <w:b w:val="false"/>
          <w:color w:val="000000"/>
          <w:sz w:val="20"/>
        </w:rPr>
        <w:t xml:space="preserve">The Company enters into certain off-balance sheet arrangements in the normal course of business to meet the financing needs of its customers. These off-balance sheet arrangements include commitments to extend credit, standby letters of credit, and financial guarantees which would impact the Company’s liquidity and capital resources to the extent customers accept and/or use these commitments. See </w:t>
      </w:r>
      <w:hyperlink w:anchor="ib9c5802e33ec4b258c2b42fcff6434e5_61">
        <w:r>
          <w:rPr>
            <w:rStyle w:val="InternetLink"/>
            <w:rFonts w:ascii="Times New Roman;serif" w:hAnsi="Times New Roman;serif"/>
            <w:b w:val="false"/>
            <w:color w:val="0000FF"/>
            <w:sz w:val="20"/>
            <w:u w:val="single"/>
          </w:rPr>
          <w:t>Note 10 — Commitments and Contingencies</w:t>
        </w:r>
      </w:hyperlink>
      <w:r>
        <w:rPr>
          <w:color w:val="000000"/>
        </w:rPr>
        <w:t xml:space="preserve"> </w:t>
      </w:r>
      <w:r>
        <w:rPr>
          <w:rFonts w:ascii="Times New Roman;serif" w:hAnsi="Times New Roman;serif"/>
          <w:b w:val="false"/>
          <w:color w:val="000000"/>
          <w:sz w:val="20"/>
        </w:rPr>
        <w:t>in Notes to Consolidated Financial Statements for a discussion of credit extension commitments. These instruments involve, to varying degrees, elements of credit and interest rate risk in excess of the amount recognized in the balance sheet. With the exception of these off-balance sheet arrangements, the Company has no off-balance sheet arrangements that have, or are reasonably likely to have, a current or future effect on the Company’s financial condition, changes in financial condition, revenues or expenses, results of operations, liquidity, capital expenditures, or capital resources.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Funding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funding activities are monitored and governed through the Company’s asset/liability management process. Deposits are the primary source of funds for lending and investing activities; however, the Company will use borrowings to meet liquidity needs and for temporary funding. The Company has available secured lines of credit with the Federal Reserve Bank of Richmond, such as the Borrower-In-Custody program, the FHLB of Atlanta, and unsecured federal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lines of credit from correspondent banking relationships. The Company also utilizes brokered time deposits. For more discussion of brokered time deposits, see the Deposits heading below this section.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has available unused borrowing capacity of $6.0 billion through its available lines of credit with the FHLB of Atlanta, the Federal Reserve Borrower-In-Custody Program line, and unsecured federal fund lines of credit from correspondent banking relationships. Advances on credit lines are secured by both securities and loans.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shows certain information regarding short-term borrowings as of the three months ended June 30, 2026, and December 31, 2025, respectively (dollars in thousands):</w:t>
      </w:r>
    </w:p>
    <w:tbl>
      <w:tblPr>
        <w:tblW w:w="6788" w:type="dxa"/>
        <w:jc w:val="left"/>
        <w:tblInd w:w="0" w:type="dxa"/>
        <w:tblLayout w:type="fixed"/>
        <w:tblCellMar>
          <w:top w:w="28" w:type="dxa"/>
          <w:left w:w="28" w:type="dxa"/>
          <w:bottom w:w="28" w:type="dxa"/>
          <w:right w:w="28" w:type="dxa"/>
        </w:tblCellMar>
      </w:tblPr>
      <w:tblGrid>
        <w:gridCol w:w="1227"/>
        <w:gridCol w:w="1077"/>
        <w:gridCol w:w="1085"/>
        <w:gridCol w:w="109"/>
        <w:gridCol w:w="109"/>
        <w:gridCol w:w="109"/>
        <w:gridCol w:w="217"/>
        <w:gridCol w:w="817"/>
        <w:gridCol w:w="121"/>
        <w:gridCol w:w="109"/>
        <w:gridCol w:w="109"/>
        <w:gridCol w:w="109"/>
        <w:gridCol w:w="287"/>
        <w:gridCol w:w="1078"/>
        <w:gridCol w:w="225"/>
      </w:tblGrid>
      <w:tr>
        <w:trPr/>
        <w:tc>
          <w:tcPr>
            <w:tcW w:w="122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interest rate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w:t>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shows certain information regarding long-term debt as of the three months ended June 30, 2026, and December 31, 2025, respectively (dollars in thousands):</w:t>
      </w:r>
    </w:p>
    <w:tbl>
      <w:tblPr>
        <w:tblW w:w="7886" w:type="dxa"/>
        <w:jc w:val="left"/>
        <w:tblInd w:w="0" w:type="dxa"/>
        <w:tblLayout w:type="fixed"/>
        <w:tblCellMar>
          <w:top w:w="28" w:type="dxa"/>
          <w:left w:w="28" w:type="dxa"/>
          <w:bottom w:w="28" w:type="dxa"/>
          <w:right w:w="28" w:type="dxa"/>
        </w:tblCellMar>
      </w:tblPr>
      <w:tblGrid>
        <w:gridCol w:w="1744"/>
        <w:gridCol w:w="1530"/>
        <w:gridCol w:w="1541"/>
        <w:gridCol w:w="217"/>
        <w:gridCol w:w="817"/>
        <w:gridCol w:w="121"/>
        <w:gridCol w:w="109"/>
        <w:gridCol w:w="109"/>
        <w:gridCol w:w="109"/>
        <w:gridCol w:w="313"/>
        <w:gridCol w:w="1031"/>
        <w:gridCol w:w="245"/>
      </w:tblGrid>
      <w:tr>
        <w:trPr/>
        <w:tc>
          <w:tcPr>
            <w:tcW w:w="174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color w:val="000000"/>
                <w:sz w:val="18"/>
              </w:rPr>
            </w:pPr>
            <w:r>
              <w:rPr>
                <w:rFonts w:ascii="Times New Roman;serif" w:hAnsi="Times New Roman;serif"/>
                <w:b/>
                <w:color w:val="000000"/>
                <w:sz w:val="18"/>
              </w:rPr>
              <w:t>Balance at end of period</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debentures, net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70,222 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Subordinated debentures owed to unconsolidated subsidiary trusts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17,268 </w:t>
            </w:r>
          </w:p>
        </w:tc>
        <w:tc>
          <w:tcPr>
            <w:tcW w:w="24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debt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152,183 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87,490 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Weighted average interest rate at end of period</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w:t>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Deposits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Total deposits increased by $2.6 billion from December 31, 2025, to June 30, 2026, primarily as a result of the LNKB Merger and an increase in brokered deposits of $56.3 million. The Company’s brokered time deposits amounted to $120.7 million as of June 30, 2026, and $64.4 million at December 31, 2025. All of the Company’s brokered deposits are in the form of certificates of deposits that are insured by the FDIC. Excluding the brokered deposit balance, the total deposit balance increased by $2.5 billion from December 31, 2025 to June 30, 2026.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balance of each category of deposits as of the dates indicated (in thousands):</w:t>
      </w:r>
    </w:p>
    <w:tbl>
      <w:tblPr>
        <w:tblW w:w="5654" w:type="dxa"/>
        <w:jc w:val="left"/>
        <w:tblInd w:w="0" w:type="dxa"/>
        <w:tblLayout w:type="fixed"/>
        <w:tblCellMar>
          <w:top w:w="28" w:type="dxa"/>
          <w:left w:w="28" w:type="dxa"/>
          <w:bottom w:w="28" w:type="dxa"/>
          <w:right w:w="28" w:type="dxa"/>
        </w:tblCellMar>
      </w:tblPr>
      <w:tblGrid>
        <w:gridCol w:w="808"/>
        <w:gridCol w:w="712"/>
        <w:gridCol w:w="715"/>
        <w:gridCol w:w="109"/>
        <w:gridCol w:w="109"/>
        <w:gridCol w:w="109"/>
        <w:gridCol w:w="196"/>
        <w:gridCol w:w="871"/>
        <w:gridCol w:w="109"/>
        <w:gridCol w:w="109"/>
        <w:gridCol w:w="109"/>
        <w:gridCol w:w="109"/>
        <w:gridCol w:w="255"/>
        <w:gridCol w:w="1134"/>
        <w:gridCol w:w="200"/>
      </w:tblGrid>
      <w:tr>
        <w:trPr/>
        <w:tc>
          <w:tcPr>
            <w:tcW w:w="80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Demand, non-interest-bearing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2,058,076 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1,336,380 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Demand, 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2,330,181 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and savings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1,665,304 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Brokered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64,410 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Time deposits,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1,007,666 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interest-bearing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6,910,006 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5,067,561 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8,968,082 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6,403,941 </w:t>
            </w:r>
          </w:p>
        </w:tc>
        <w:tc>
          <w:tcPr>
            <w:tcW w:w="20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seek organic growth in both interest-bearing and non-interest-bearing deposits consistent with our relationship-based strategy. Management evaluates its utilization of brokered deposits, taking into consideration the interest rate curve and regulatory views on non-core funding sources, and balances this funding source with its funding needs based on growth initiatives.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has deposits that meet or exceed the FDIC insurance limit of $250,000 in the amounts of $3.2 billion and $2.1 billion at June 30, 2026, and December 31, 2025, respectively. The Company does not have material deposit concentration risk to any significant market, industry or individual at June 30,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maturity ranges of time deposits as of June 30, 2026, that exceed the FDIC insurance limit (in thousands).</w:t>
      </w:r>
    </w:p>
    <w:tbl>
      <w:tblPr>
        <w:tblW w:w="4600" w:type="dxa"/>
        <w:jc w:val="left"/>
        <w:tblInd w:w="0" w:type="dxa"/>
        <w:tblLayout w:type="fixed"/>
        <w:tblCellMar>
          <w:top w:w="28" w:type="dxa"/>
          <w:left w:w="28" w:type="dxa"/>
          <w:bottom w:w="28" w:type="dxa"/>
          <w:right w:w="28" w:type="dxa"/>
        </w:tblCellMar>
      </w:tblPr>
      <w:tblGrid>
        <w:gridCol w:w="1113"/>
        <w:gridCol w:w="976"/>
        <w:gridCol w:w="985"/>
        <w:gridCol w:w="109"/>
        <w:gridCol w:w="109"/>
        <w:gridCol w:w="109"/>
        <w:gridCol w:w="216"/>
        <w:gridCol w:w="813"/>
        <w:gridCol w:w="170"/>
      </w:tblGrid>
      <w:tr>
        <w:trPr/>
        <w:tc>
          <w:tcPr>
            <w:tcW w:w="111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within 3 months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205,453 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3 months and within 6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6 months and within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after 12 months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uninsured, time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492,548 </w:t>
            </w:r>
          </w:p>
        </w:tc>
        <w:tc>
          <w:tcPr>
            <w:tcW w:w="17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Shareholders’ Equity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Total shareholders’ equity at June 30, 2026, was $1.2 billion, compared to $854.6 million at December 31, 2025. Shareholders’ equity increased by $347.5 million mostly due to common stock issuances from the LNKB Merger since December 31, 2025. Retained earnings increased by $16.8 million from December 31, 2025, to June 30, 2026, primarily due to net income attributable to common shareholders of $36.4 million which was partially offset by dividends to common shareholders of $19.4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Market Risk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loss from adverse changes in market prices and rates. Our market risk arises primarily from interest rate risk inherent in lending, investment, and deposit-taking activities. To that end, management actively monitors and manages its interest rate risk exposure, and on at least a quarterly basis, in conjunction with the Company’s Asset/Liability meetings, reports its findings to the ALCO and to the Board. From time to time, management may change the frequency of such testing or update certain inputs as a result of abnormal market conditions. Our profitability is affected by fluctuations in interest rates; a sudden and substantial change in interest rates may adversely impact our earnings to the extent that the interest rates borne by assets and liabilities do not change at the same speed, to the same extent, or on the same basis. We monitor the impact of changes in interest rates on net interest income using several tools.</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primary objective in managing interest rate risk is to minimize the adverse impact of changes in interest rates on our net interest income and capital, while configuring our asset-liability structure to obtain the maximum yield-cost spread on that structure. We rely primarily on our asset-liability structure to control interest rate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Company’s Asset/Liability policy provides for a subcommittee of the ALCO, comprised of executive and senior management that, upon the determination that abnormal market risks are occurring or may be forthcoming, will convene with the responsibility of making all decisions related to mitigation of potential negative impacts to the Company. This subcommittee acts as a clearinghouse for information on Company earnings, credit risk, lending and deposit activities, and liquidity management necessary for internal communications, including to the Board, and external communications.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Interest Rate Sensitivity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Interest rate risk is the risk to earnings and fair value arising from changes in market interest rates. Interest rate risk arises from timing differences in the repricing and maturities of interest-earning assets and interest-bearing liabilities (repricing risk), changes in the expected maturities of assets and liabilities arising from embedded options, such as borrowers’ ability to prepay home mortgage loans at any time, depositors’ ability to redeem certificates of deposit before maturity (option risk), changes in the shape of the yield curve, where interest rates increase or decrease in a non-parallel fashion (yield curve risk), and changes in spread relationships between different yield curves, such as U.S. Treasuries and SOFR (basis risk).</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rates on some interest-bearing financial instruments may adjust promptly with changes in market rates, while others adjust only periodically or are fixed for a predefined term. Such instances can cause a mismatch between the sensitivity and behavior of financial assets and liabilities. Interest rate fluctuations and economic factors, coupled with repricing mismatches and embedded options inherent in these financial assets and liabilities, may impact the Company’s interest expense, interest income, and the value of certain financial assets and liabilities. Through the ALCO, we attempt to manage the balance sheet in a manner that increases the benefit or reduces the negative impacts from such events.</w:t>
      </w:r>
    </w:p>
    <w:p>
      <w:pPr>
        <w:pStyle w:val="TextBody"/>
        <w:bidi w:val="0"/>
        <w:spacing w:lineRule="auto" w:line="288" w:before="0" w:after="180"/>
        <w:jc w:val="both"/>
        <w:rPr/>
      </w:pPr>
      <w:r>
        <w:rPr>
          <w:rFonts w:ascii="Times New Roman;serif" w:hAnsi="Times New Roman;serif"/>
          <w:b w:val="false"/>
          <w:color w:val="000000"/>
          <w:sz w:val="20"/>
        </w:rPr>
        <w:t xml:space="preserve">The overall impact of changes in interest rates, including, but not limited to, the impact to our net interest income and to our securities portfolio, can be enhanced or diluted depending on the variability of interest rates. From time to time, the Company may hedge its interest rate risk position, which can impact earnings. We generally do not hedge all of our interest rate risk, nor can we guarantee that any attempts to hedge some or all of our interest rate risk will be successful. See </w:t>
      </w:r>
      <w:hyperlink w:anchor="ib9c5802e33ec4b258c2b42fcff6434e5_58">
        <w:r>
          <w:rPr>
            <w:rStyle w:val="InternetLink"/>
            <w:rFonts w:ascii="Times New Roman;serif" w:hAnsi="Times New Roman;serif"/>
            <w:b w:val="false"/>
            <w:color w:val="0000FF"/>
            <w:sz w:val="20"/>
            <w:u w:val="single"/>
          </w:rPr>
          <w:t>Note 9 - Derivatives</w:t>
        </w:r>
      </w:hyperlink>
      <w:r>
        <w:rPr>
          <w:color w:val="000000"/>
        </w:rPr>
        <w:t xml:space="preserve"> </w:t>
      </w:r>
      <w:r>
        <w:rPr>
          <w:rFonts w:ascii="Times New Roman;serif" w:hAnsi="Times New Roman;serif"/>
          <w:b w:val="false"/>
          <w:color w:val="000000"/>
          <w:sz w:val="20"/>
        </w:rPr>
        <w:t>in Notes to Consolidated Financial Statements for a discussion of our hedging activity.</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actively manages its interest rate sensitivity position. The objectives of interest rate risk management are to control exposure of net interest income to risks associated with interest rate movements and to achieve sustainable growth in net interest income. The ALCO, using policies and procedures approved by the Company’s Board, is responsible for the management of the Company’s interest rate sensitivity position. The Company manages interest rate sensitivity by changing the mix, pricing and re-pricing characteristics of its assets and liabilities, through the management of its investment portfolio, its offerings of loan and selected deposit terms, and through wholesale funding. Wholesale funding consists of, but is not limited to, borrowings with the FHLB, federal funds purchased, and brokered time deposits.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uses several tools to manage its interest rate risk, including interest rate sensitivity analysis, or gap analysis, market value of portfolio equity analysis, interest rate simulations under various rate scenarios, and net interest margin reports. The results of these reports are compared to limits established by the Company’s ALCO policies, and appropriate adjustments are made if the results are outside the established limits.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 are an infinite number of potential interest rate scenarios, each of which can be accompanied by differing economic/political/regulatory climates; can generate multiple differing behavior patterns by markets, borrowers, depositors, etc.; and, can last for varying degrees of time. Therefore, by definition, interest rate risk sensitivity cannot be predicted with certainty. Accordingly, the Company’s interest rate risk measurement philosophy focuses on maintaining an appropriate balance between theoretical and practical scenarios; especially given the primary objective of the Company’s overall asset/liability management process, which is to facilitate meaningful strategy development and implementation.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Therefore, we model a set of interest rate scenarios capturing the financial effects of a range of plausible rate scenarios; the collective impact of which will enable the Company to clearly understand the nature and extent of its sensitivity to interest rate changes. Doing so necessitates an assessment of rate changes over varying time horizons and of varying/sufficient degrees such that the impact of embedded options within the balance sheet are sufficiently examined.</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following tables demonstrate the annualized result of an interest rate simulation and the estimated effect that a parallel interest rate shift, or “shock”, in the yield curve and subjective adjustments in deposit pricing might have on the Company’s projected income over the next 12 months. This simulation assumes that there is no growth in interest-earning assets or interest-bearing liabilities over the next 12 months.</w:t>
      </w:r>
    </w:p>
    <w:tbl>
      <w:tblPr>
        <w:tblW w:w="8571" w:type="dxa"/>
        <w:jc w:val="left"/>
        <w:tblInd w:w="0" w:type="dxa"/>
        <w:tblLayout w:type="fixed"/>
        <w:tblCellMar>
          <w:top w:w="28" w:type="dxa"/>
          <w:left w:w="28" w:type="dxa"/>
          <w:bottom w:w="28" w:type="dxa"/>
          <w:right w:w="28" w:type="dxa"/>
        </w:tblCellMar>
      </w:tblPr>
      <w:tblGrid>
        <w:gridCol w:w="1125"/>
        <w:gridCol w:w="987"/>
        <w:gridCol w:w="992"/>
        <w:gridCol w:w="109"/>
        <w:gridCol w:w="109"/>
        <w:gridCol w:w="109"/>
        <w:gridCol w:w="529"/>
        <w:gridCol w:w="529"/>
        <w:gridCol w:w="1326"/>
        <w:gridCol w:w="109"/>
        <w:gridCol w:w="109"/>
        <w:gridCol w:w="109"/>
        <w:gridCol w:w="493"/>
        <w:gridCol w:w="493"/>
        <w:gridCol w:w="1443"/>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Interest Rates (in Basis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 in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 in Earnings</w:t>
            </w:r>
          </w:p>
        </w:tc>
      </w:tr>
      <w:tr>
        <w:trPr/>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erif" w:hAnsi="Times New Roman;serif"/>
          <w:b/>
          <w:color w:val="000000"/>
          <w:sz w:val="20"/>
        </w:rPr>
        <w:t xml:space="preserve">Economic Value of Equity Analysis (“EVE”). </w:t>
      </w:r>
      <w:r>
        <w:rPr>
          <w:rFonts w:ascii="Times New Roman;serif" w:hAnsi="Times New Roman;serif"/>
          <w:b w:val="false"/>
          <w:color w:val="000000"/>
          <w:sz w:val="20"/>
        </w:rPr>
        <w:t>We analyze the sensitivity of our financial condition to changes in interest rates through our economic value of equity model. This analysis measures the difference between predicted changes in the fair value of our assets and predicted changes in the present value of our liabilities, assuming various changes in current interest rates. The table below represents an analysis of our interest rate risk as measured by the estimated changes in our economic value of equity, resulting from an instantaneous and sustained parallel shift in the yield curve at June 30, 2026, and December 31, 2025.</w:t>
      </w:r>
    </w:p>
    <w:tbl>
      <w:tblPr>
        <w:tblW w:w="7941" w:type="dxa"/>
        <w:jc w:val="left"/>
        <w:tblInd w:w="0" w:type="dxa"/>
        <w:tblLayout w:type="fixed"/>
        <w:tblCellMar>
          <w:top w:w="28" w:type="dxa"/>
          <w:left w:w="28" w:type="dxa"/>
          <w:bottom w:w="28" w:type="dxa"/>
          <w:right w:w="28" w:type="dxa"/>
        </w:tblCellMar>
      </w:tblPr>
      <w:tblGrid>
        <w:gridCol w:w="1125"/>
        <w:gridCol w:w="987"/>
        <w:gridCol w:w="992"/>
        <w:gridCol w:w="109"/>
        <w:gridCol w:w="109"/>
        <w:gridCol w:w="109"/>
        <w:gridCol w:w="459"/>
        <w:gridCol w:w="459"/>
        <w:gridCol w:w="1151"/>
        <w:gridCol w:w="109"/>
        <w:gridCol w:w="109"/>
        <w:gridCol w:w="109"/>
        <w:gridCol w:w="429"/>
        <w:gridCol w:w="429"/>
        <w:gridCol w:w="1256"/>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3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Interest Rates (in Basis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 in EVE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 in EVE</w:t>
            </w:r>
          </w:p>
        </w:tc>
      </w:tr>
      <w:tr>
        <w:trPr/>
        <w:tc>
          <w:tcPr>
            <w:tcW w:w="2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9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June 30, 2026. Based on their evaluation of the Company’s disclosure controls and procedures, the Company’s Chief Executive Officer and Chief Financial Officer have concluded that our disclosure controls and procedures are designed to ensure that information required to be disclosed by the Company in reports that it files or submits under the Exchange Act is recorded, processed, summarized and reported within the time periods specified in the SEC rules and regulations are designed and operating in an effective manner. As of June 30, 2026, the Company believes its Disclosure Controls and Procedures (“DCP”) were effective.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Effective on May 1, 2026, Burke &amp; Herbert completed the LNKB Merger. During the second quarter of 2026, management commenced an evaluation of the design and operating effectiveness of internal controls over financial reporting related to the LNKB acquired business. The evaluation of changes to processes, technology systems, and other components of internal control over financial reporting related to the LNKB acquired business is ongoing. Except for the changes made in connection with the LNKB Merger, there were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operations, and from time to time, the Company and its subsidiary are parties to various legal claims, lawsuits, and proceedings incidental to the ordinary nature of the Company’s business. Currently, we are not party to any material legal proceedings, and no such proceedings are, to management’s knowledge, threatened against us. Although the ultimate outcome of any pending legal proceedings cannot be ascertained at this time, it is the opinion of management that the liabilities (if any) resulting from such legal proceedings will not have a material adverse effect on the Company’s business, including its consolidated financial position, results of operations, or cash flows, or otherwise require disclosure under the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the risk factors that were disclosed in Item 1A, under the caption “Risk Factors” in our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25, 2025, Burke &amp; Herbert announced that its Board authorized a share repurchase program pursuant to which Burke &amp; Herbert may purchase up to $50.0 million of Burke &amp; Herbert’s common stock in the open market or in privately negotiated transactions. Burke &amp; Herbert made no open market or private purchases for the six months ended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Burke &amp; Herbert’s purchases of equity securities that are registered by Burke &amp; Herbert pursuant to Section 12 of the Exchange Act for the periods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16"/>
        <w:gridCol w:w="278"/>
        <w:gridCol w:w="279"/>
        <w:gridCol w:w="109"/>
        <w:gridCol w:w="109"/>
        <w:gridCol w:w="109"/>
        <w:gridCol w:w="504"/>
        <w:gridCol w:w="504"/>
        <w:gridCol w:w="505"/>
        <w:gridCol w:w="109"/>
        <w:gridCol w:w="109"/>
        <w:gridCol w:w="109"/>
        <w:gridCol w:w="288"/>
        <w:gridCol w:w="842"/>
        <w:gridCol w:w="148"/>
        <w:gridCol w:w="109"/>
        <w:gridCol w:w="109"/>
        <w:gridCol w:w="109"/>
        <w:gridCol w:w="789"/>
        <w:gridCol w:w="789"/>
        <w:gridCol w:w="791"/>
        <w:gridCol w:w="109"/>
        <w:gridCol w:w="109"/>
        <w:gridCol w:w="109"/>
        <w:gridCol w:w="416"/>
        <w:gridCol w:w="2136"/>
        <w:gridCol w:w="312"/>
      </w:tblGrid>
      <w:tr>
        <w:trPr/>
        <w:tc>
          <w:tcPr>
            <w:tcW w:w="3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 shares purchased (1)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the plans or programs (3)</w:t>
            </w:r>
          </w:p>
        </w:tc>
      </w:tr>
      <w:tr>
        <w:trPr/>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50,000,000 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50,000,000</w:t>
            </w:r>
          </w:p>
        </w:tc>
      </w:tr>
      <w:tr>
        <w:trPr/>
        <w:tc>
          <w:tcPr>
            <w:tcW w:w="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50,000,000</w:t>
            </w:r>
          </w:p>
        </w:tc>
      </w:tr>
    </w:tbl>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Shares purchased during the period were transferred to Burke &amp; Herbert from employees in satisfaction of minimum tax withholding obligations associated with the vesting of restricted stock units during the period.</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No shares were purchased by Burke &amp; Herbert under any share repurchase program during the quarter ended June 30, 2026.</w:t>
      </w:r>
    </w:p>
    <w:p>
      <w:pPr>
        <w:pStyle w:val="TextBody"/>
        <w:bidi w:val="0"/>
        <w:spacing w:lineRule="auto" w:line="288" w:before="120" w:after="12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Burke &amp; Herbert’s share repurchase program was authorized on April 25,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Insider Trading Arrangements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56"/>
        <w:gridCol w:w="224"/>
        <w:gridCol w:w="227"/>
        <w:gridCol w:w="109"/>
        <w:gridCol w:w="109"/>
        <w:gridCol w:w="109"/>
        <w:gridCol w:w="2672"/>
        <w:gridCol w:w="2672"/>
        <w:gridCol w:w="3827"/>
      </w:tblGrid>
      <w:tr>
        <w:trPr/>
        <w:tc>
          <w:tcPr>
            <w:tcW w:w="25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Agreement and Plan of Merger between Burke &amp; Herbert Financial Services Corp. and LINKBANCORP, Inc.</w:t>
              </w:r>
            </w:hyperlink>
            <w:r>
              <w:rPr>
                <w:color w:val="000000"/>
              </w:rPr>
              <w:t xml:space="preserve"> </w:t>
            </w:r>
            <w:r>
              <w:rPr>
                <w:rFonts w:ascii="Times New Roman;serif" w:hAnsi="Times New Roman;serif"/>
                <w:b w:val="false"/>
                <w:color w:val="000000"/>
                <w:sz w:val="20"/>
              </w:rPr>
              <w:t>(incorporated by reference to Exhibit 2.1 to the Form 8-K, filed December 18, 2025)</w:t>
            </w:r>
          </w:p>
        </w:tc>
      </w:tr>
      <w:tr>
        <w:trPr/>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Articles of Incorporation Burke &amp; Herbert Financial Services Corp. as amended</w:t>
              </w:r>
            </w:hyperlink>
            <w:r>
              <w:rPr>
                <w:color w:val="000000"/>
              </w:rPr>
              <w:t xml:space="preserve"> </w:t>
            </w:r>
            <w:r>
              <w:rPr>
                <w:rFonts w:ascii="Times New Roman;serif" w:hAnsi="Times New Roman;serif"/>
                <w:b w:val="false"/>
                <w:color w:val="000000"/>
                <w:sz w:val="20"/>
              </w:rPr>
              <w:t>(incorporated by reference to Exhibit 3.1 of the Registrant’s Form 10-Q filed August 13, 2024)</w:t>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Bylaws of Burke &amp; Herbert Financial Services Corp. as amended</w:t>
              </w:r>
            </w:hyperlink>
            <w:r>
              <w:rPr>
                <w:color w:val="000000"/>
              </w:rPr>
              <w:t xml:space="preserve"> </w:t>
            </w:r>
            <w:r>
              <w:rPr>
                <w:rFonts w:ascii="Times New Roman;serif" w:hAnsi="Times New Roman;serif"/>
                <w:b w:val="false"/>
                <w:color w:val="000000"/>
                <w:sz w:val="20"/>
              </w:rPr>
              <w:t>(incorporated by reference to Exhibit 3.1 to the Form 8-K, filed May 1, 2026)</w:t>
            </w:r>
          </w:p>
        </w:tc>
      </w:tr>
      <w:tr>
        <w:trPr/>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Form of Warrant</w:t>
              </w:r>
            </w:hyperlink>
            <w:r>
              <w:rPr>
                <w:color w:val="000000"/>
              </w:rPr>
              <w:t xml:space="preserve"> </w:t>
            </w:r>
            <w:r>
              <w:rPr>
                <w:rFonts w:ascii="Times New Roman;serif" w:hAnsi="Times New Roman;serif"/>
                <w:b w:val="false"/>
                <w:color w:val="000000"/>
                <w:sz w:val="20"/>
              </w:rPr>
              <w:t>((incorporated by reference to Exhibit 4.3 to LINKBANCORP, Inc. Form S-4 Registration Statement, filed May 7, 2021) (File No. 333-255908))</w:t>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Employment Agreement dated December 18, 2025 by and between Burke &amp; Herbert Bank &amp; Trust Company and Carl Lundblad</w:t>
              </w:r>
            </w:hyperlink>
            <w:r>
              <w:rPr>
                <w:color w:val="000000"/>
              </w:rPr>
              <w:t xml:space="preserve"> </w:t>
            </w:r>
            <w:r>
              <w:rPr>
                <w:rFonts w:ascii="Times New Roman;serif" w:hAnsi="Times New Roman;serif"/>
                <w:b w:val="false"/>
                <w:color w:val="000000"/>
                <w:sz w:val="20"/>
              </w:rPr>
              <w:t>(incorporated by reference to Exhibit 10.1 to the Form 8-K, filed May 1, 2026)</w:t>
            </w:r>
          </w:p>
        </w:tc>
      </w:tr>
      <w:tr>
        <w:trPr/>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Non-Disclosure and Restrictive Covenant Agreement dated December 18, 2025 by and between Burke &amp; Herbert Bank &amp; Trust Company and Carl Lundblad</w:t>
              </w:r>
            </w:hyperlink>
            <w:r>
              <w:rPr>
                <w:color w:val="000000"/>
              </w:rPr>
              <w:t xml:space="preserve"> </w:t>
            </w:r>
            <w:r>
              <w:rPr>
                <w:rFonts w:ascii="Times New Roman;serif" w:hAnsi="Times New Roman;serif"/>
                <w:b w:val="false"/>
                <w:color w:val="000000"/>
                <w:sz w:val="20"/>
              </w:rPr>
              <w:t>(incorporated by reference to Exhibit 10.2 to the Form 8-K, filed May 1, 2026)</w:t>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hrb-ex3112q202610xq.htm">
              <w:r>
                <w:rPr>
                  <w:rStyle w:val="InternetLink"/>
                  <w:rFonts w:ascii="Times New Roman;serif" w:hAnsi="Times New Roman;serif"/>
                  <w:b w:val="false"/>
                  <w:color w:val="0000FF"/>
                  <w:sz w:val="20"/>
                  <w:u w:val="single"/>
                </w:rPr>
                <w:t>Certification of Chief Executive Officer Pursuant to Section 302 of the Sarbanes-Oxley Act of 2002</w:t>
              </w:r>
            </w:hyperlink>
          </w:p>
        </w:tc>
      </w:tr>
      <w:tr>
        <w:trPr/>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bhrb-ex3122q202610xq.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bhrb-ex3212q202610xq.htm">
              <w:r>
                <w:rPr>
                  <w:rStyle w:val="InternetLink"/>
                  <w:rFonts w:ascii="Times New Roman;serif" w:hAnsi="Times New Roman;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Form 10-Q Report for the quarterly period ended June 30, 2026, formatted in Inline XBRL: (i) the Consolidated Balance Sheets, (ii) the Consolidated Statements of Income (Loss), (iii) the Consolidated Statements of Comprehensive Income (Loss), (iv) the Consolidated Statements of Changes in Shareholders’ Equity, (v) the Consolidated Statements of Cash Flows, and (vi) the Notes to Consolidated Financial Statements.</w:t>
            </w:r>
          </w:p>
        </w:tc>
      </w:tr>
      <w:tr>
        <w:trPr/>
        <w:tc>
          <w:tcPr>
            <w:tcW w:w="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the registrant’s Quarterly Report on Form 10-Q for the quarterly period ended June 30, 2026, formatted in Inline XBRL (contained in Exhibit 101).</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Previously filed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180"/>
        <w:jc w:val="both"/>
        <w:rPr/>
      </w:pPr>
      <w:hyperlink w:anchor="ib9c5802e33ec4b258c2b42fcff6434e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18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6141" w:type="dxa"/>
        <w:jc w:val="right"/>
        <w:tblInd w:w="0" w:type="dxa"/>
        <w:tblLayout w:type="fixed"/>
        <w:tblCellMar>
          <w:top w:w="28" w:type="dxa"/>
          <w:left w:w="28" w:type="dxa"/>
          <w:bottom w:w="28" w:type="dxa"/>
          <w:right w:w="28" w:type="dxa"/>
        </w:tblCellMar>
      </w:tblPr>
      <w:tblGrid>
        <w:gridCol w:w="649"/>
        <w:gridCol w:w="571"/>
        <w:gridCol w:w="571"/>
        <w:gridCol w:w="1268"/>
        <w:gridCol w:w="1268"/>
        <w:gridCol w:w="1814"/>
      </w:tblGrid>
      <w:tr>
        <w:trPr/>
        <w:tc>
          <w:tcPr>
            <w:tcW w:w="6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r>
      <w:tr>
        <w:trPr/>
        <w:tc>
          <w:tcPr>
            <w:tcW w:w="6141" w:type="dxa"/>
            <w:gridSpan w:val="6"/>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Burke &amp; Herbert Financial Services Corp.</w:t>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35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/s/ David P. Boyle </w:t>
            </w:r>
          </w:p>
        </w:tc>
      </w:tr>
      <w:tr>
        <w:trPr/>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David P. Boyle </w:t>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435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Chairman of the Board and Chief Executive Officer </w:t>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35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/s/ Kirtan Parikh</w:t>
            </w:r>
          </w:p>
        </w:tc>
      </w:tr>
      <w:tr>
        <w:trPr/>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Kirtan Parikh</w:t>
            </w:r>
          </w:p>
        </w:tc>
      </w:tr>
      <w:tr>
        <w:trPr/>
        <w:tc>
          <w:tcPr>
            <w:tcW w:w="1791"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Title:</w:t>
            </w:r>
          </w:p>
        </w:tc>
        <w:tc>
          <w:tcPr>
            <w:tcW w:w="4350"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r>
      <w:tr>
        <w:trPr/>
        <w:tc>
          <w:tcPr>
            <w:tcW w:w="17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Exhibit 31.1</w:t>
      </w: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 David P. Boyle, certify that: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1.I have reviewed this quarterly report on Form 10-Q of Burke &amp; Herbert Financial Services Corp.;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Date: August 7, 2026            </w:t>
      </w:r>
    </w:p>
    <w:p>
      <w:pPr>
        <w:pStyle w:val="TextBody"/>
        <w:bidi w:val="0"/>
        <w:spacing w:lineRule="auto" w:line="240" w:before="0" w:after="0"/>
        <w:ind w:left="0" w:right="0" w:firstLine="7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David P. Boyle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David P. Boyle</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Chairman of the Board and Chief Executive Officer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2"/>
        </w:rPr>
      </w:pPr>
      <w:r>
        <w:rPr>
          <w:rFonts w:ascii="Times New Roman;serif" w:hAnsi="Times New Roman;serif"/>
          <w:b/>
          <w:color w:val="000000"/>
          <w:sz w:val="22"/>
        </w:rPr>
        <w:t>Exhibit 31.2</w:t>
      </w:r>
    </w:p>
    <w:p>
      <w:pPr>
        <w:pStyle w:val="TextBody"/>
        <w:bidi w:val="0"/>
        <w:spacing w:lineRule="auto" w:line="240"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CERTIFICATION</w: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 Kirtan Parikh, certify that: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1.I have reviewed this quarterly report on Form 10-Q of Burke &amp; Herbert Financial Services Corp.;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4.The registrant’s other certifying officer and I are responsible for establishing and maintaining disclosure controls and procedures (as defined in Exchange Act Rules 13a-15(e) and 15d-15(e)) for the registrant and have: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40"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Date: August 7, 2026             </w:t>
      </w:r>
    </w:p>
    <w:p>
      <w:pPr>
        <w:pStyle w:val="TextBody"/>
        <w:bidi w:val="0"/>
        <w:spacing w:lineRule="auto" w:line="240" w:before="0" w:after="0"/>
        <w:ind w:left="0" w:right="0" w:firstLine="72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 xml:space="preserve">/s/ Kirtan Parikh     </w:t>
      </w:r>
    </w:p>
    <w:p>
      <w:pPr>
        <w:pStyle w:val="TextBody"/>
        <w:bidi w:val="0"/>
        <w:spacing w:lineRule="auto" w:line="240"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Kirtan Parikh</w:t>
      </w:r>
    </w:p>
    <w:p>
      <w:pPr>
        <w:pStyle w:val="TextBody"/>
        <w:bidi w:val="0"/>
        <w:spacing w:lineRule="auto" w:line="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Executive Vice President &amp;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32.1</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CERTIFICATION OF PRINCIPAL EXECUTIVE OFFICER AND PRINCIPAL FINANCIAL OFFICER</w:t>
      </w:r>
    </w:p>
    <w:p>
      <w:pPr>
        <w:pStyle w:val="TextBody"/>
        <w:bidi w:val="0"/>
        <w:spacing w:lineRule="auto" w:line="240" w:before="0" w:after="240"/>
        <w:jc w:val="center"/>
        <w:rPr>
          <w:rFonts w:ascii="Times New Roman;serif" w:hAnsi="Times New Roman;serif"/>
          <w:b/>
          <w:color w:val="000000"/>
          <w:sz w:val="18"/>
        </w:rPr>
      </w:pPr>
      <w:r>
        <w:rPr>
          <w:rFonts w:ascii="Times New Roman;serif" w:hAnsi="Times New Roman;serif"/>
          <w:b/>
          <w:color w:val="000000"/>
          <w:sz w:val="18"/>
        </w:rPr>
        <w:t>PURSUANT TO SECTION 906</w:t>
      </w:r>
    </w:p>
    <w:p>
      <w:pPr>
        <w:pStyle w:val="TextBody"/>
        <w:bidi w:val="0"/>
        <w:spacing w:lineRule="auto" w:line="240" w:before="0" w:after="120"/>
        <w:jc w:val="both"/>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on Form 10-Q of Burke &amp; Herbert Financial Services Corp. (the “Company”) for the period ended June 30, 2026, as filed with the Securities and Exchange Commission on the date hereof (the “Report”), the undersigned, as the Principal Executive Officer of the Company and the Principal Financial Officer of the Company, respectively, certify, pursuant to and for purposes of 18 U.S.C. Section 1350, as adopted pursuant to Section 906 of the Sarbanes-Oxley Act of 2002, that to their knowledge: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Report fully complies with the requirements of Section 13(a) or 15(d) of the Securities Exchange Act of 1934;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5443" w:type="dxa"/>
        <w:jc w:val="left"/>
        <w:tblInd w:w="0" w:type="dxa"/>
        <w:tblLayout w:type="fixed"/>
        <w:tblCellMar>
          <w:top w:w="28" w:type="dxa"/>
          <w:left w:w="28" w:type="dxa"/>
          <w:bottom w:w="28" w:type="dxa"/>
          <w:right w:w="28" w:type="dxa"/>
        </w:tblCellMar>
      </w:tblPr>
      <w:tblGrid>
        <w:gridCol w:w="595"/>
        <w:gridCol w:w="525"/>
        <w:gridCol w:w="529"/>
        <w:gridCol w:w="1109"/>
        <w:gridCol w:w="1109"/>
        <w:gridCol w:w="1576"/>
      </w:tblGrid>
      <w:tr>
        <w:trPr/>
        <w:tc>
          <w:tcPr>
            <w:tcW w:w="59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7, 2026</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David P. Boyle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David P. Boyle</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Chairman of the Board and Chief Executive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 August 7, 2026</w:t>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Kirtan Parikh</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Kirtan Parikh</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&amp; Chief Financial Officer</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50520"/>
                <wp:effectExtent l="0" t="0" r="0" b="0"/>
                <wp:wrapNone/>
                <wp:docPr id="93" name="Frame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64333/000196433325000256/exhibit21-agreementandplan.htm" TargetMode="External"/><Relationship Id="rId3" Type="http://schemas.openxmlformats.org/officeDocument/2006/relationships/hyperlink" Target="https://www.sec.gov/Archives/edgar/data/1964333/000196433324000316/bhrb-compiledarticlesofinc.htm" TargetMode="External"/><Relationship Id="rId4" Type="http://schemas.openxmlformats.org/officeDocument/2006/relationships/hyperlink" Target="https://www.sec.gov/Archives/edgar/data/1964333/000196433326000060/exhibit31-bylawsamendmentx.htm" TargetMode="External"/><Relationship Id="rId5" Type="http://schemas.openxmlformats.org/officeDocument/2006/relationships/hyperlink" Target="https://www.sec.gov/Archives/edgar/data/1756701/000119312521154943/d29125dex43.htm" TargetMode="External"/><Relationship Id="rId6" Type="http://schemas.openxmlformats.org/officeDocument/2006/relationships/hyperlink" Target="https://www.sec.gov/Archives/edgar/data/1964333/000196433326000060/exhibit101-executiveemploy.htm" TargetMode="External"/><Relationship Id="rId7" Type="http://schemas.openxmlformats.org/officeDocument/2006/relationships/hyperlink" Target="https://www.sec.gov/Archives/edgar/data/1964333/000196433326000060/exhibit102-ndagreementxcar.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42077</Words>
  <Characters>230452</Characters>
  <CharactersWithSpaces>269315</CharactersWithSpaces>
  <Paragraphs>8257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